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95" w:rsidRDefault="00BA3095">
      <w:pPr>
        <w:spacing w:after="1922"/>
        <w:rPr>
          <w:rFonts w:ascii="Arial" w:eastAsia="Arial" w:hAnsi="Arial" w:cs="Arial"/>
          <w:b/>
          <w:sz w:val="30"/>
          <w:u w:val="single" w:color="000000"/>
        </w:rPr>
      </w:pPr>
    </w:p>
    <w:p w:rsidR="007D5869" w:rsidRDefault="00B21227">
      <w:pPr>
        <w:spacing w:after="1922"/>
      </w:pPr>
      <w:r>
        <w:rPr>
          <w:rFonts w:ascii="Arial" w:eastAsia="Arial" w:hAnsi="Arial" w:cs="Arial"/>
          <w:b/>
          <w:sz w:val="30"/>
          <w:u w:val="single" w:color="000000"/>
        </w:rPr>
        <w:t>MARCH</w:t>
      </w:r>
      <w:r w:rsidR="0029415D">
        <w:rPr>
          <w:rFonts w:ascii="Arial" w:eastAsia="Arial" w:hAnsi="Arial" w:cs="Arial"/>
          <w:b/>
          <w:sz w:val="30"/>
          <w:u w:val="single" w:color="000000"/>
        </w:rPr>
        <w:t>É</w:t>
      </w:r>
      <w:r>
        <w:rPr>
          <w:rFonts w:ascii="Arial" w:eastAsia="Arial" w:hAnsi="Arial" w:cs="Arial"/>
          <w:b/>
          <w:sz w:val="30"/>
          <w:u w:val="single" w:color="000000"/>
        </w:rPr>
        <w:t xml:space="preserve"> PUBLIC DE TRAVAUX</w:t>
      </w:r>
    </w:p>
    <w:p w:rsidR="007D5869" w:rsidRDefault="00B21227">
      <w:pPr>
        <w:spacing w:after="710"/>
        <w:ind w:right="1444"/>
        <w:jc w:val="center"/>
        <w:rPr>
          <w:rFonts w:ascii="Arial" w:eastAsia="Arial" w:hAnsi="Arial" w:cs="Arial"/>
          <w:b/>
          <w:sz w:val="30"/>
          <w:u w:val="single" w:color="000000"/>
        </w:rPr>
      </w:pPr>
      <w:r>
        <w:rPr>
          <w:rFonts w:ascii="Arial" w:eastAsia="Arial" w:hAnsi="Arial" w:cs="Arial"/>
          <w:b/>
          <w:sz w:val="30"/>
          <w:u w:val="single" w:color="000000"/>
        </w:rPr>
        <w:t>BORDEREAU DES PRIX</w:t>
      </w:r>
    </w:p>
    <w:p w:rsidR="0029415D" w:rsidRDefault="0029415D">
      <w:pPr>
        <w:spacing w:after="710"/>
        <w:ind w:right="1444"/>
        <w:jc w:val="center"/>
        <w:rPr>
          <w:rFonts w:ascii="Arial" w:eastAsia="Arial" w:hAnsi="Arial" w:cs="Arial"/>
          <w:b/>
          <w:sz w:val="30"/>
          <w:u w:val="single" w:color="000000"/>
        </w:rPr>
      </w:pPr>
    </w:p>
    <w:p w:rsidR="0029415D" w:rsidRDefault="0029415D">
      <w:pPr>
        <w:spacing w:after="710"/>
        <w:ind w:right="1444"/>
        <w:jc w:val="center"/>
      </w:pPr>
    </w:p>
    <w:tbl>
      <w:tblPr>
        <w:tblStyle w:val="TableGrid"/>
        <w:tblW w:w="8640" w:type="dxa"/>
        <w:tblInd w:w="-2046" w:type="dxa"/>
        <w:tblCellMar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8105"/>
        <w:gridCol w:w="535"/>
      </w:tblGrid>
      <w:tr w:rsidR="007D5869">
        <w:trPr>
          <w:gridAfter w:val="1"/>
          <w:wAfter w:w="580" w:type="dxa"/>
          <w:trHeight w:val="378"/>
        </w:trPr>
        <w:tc>
          <w:tcPr>
            <w:tcW w:w="8640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  <w:right w:val="single" w:sz="9" w:space="0" w:color="000000"/>
            </w:tcBorders>
          </w:tcPr>
          <w:p w:rsidR="007D5869" w:rsidRDefault="00B21227">
            <w:r>
              <w:rPr>
                <w:rFonts w:ascii="Arial" w:eastAsia="Arial" w:hAnsi="Arial" w:cs="Arial"/>
                <w:b/>
                <w:sz w:val="20"/>
              </w:rPr>
              <w:t>Représentant du pouvoir adjudicateur</w:t>
            </w:r>
          </w:p>
        </w:tc>
      </w:tr>
      <w:tr w:rsidR="007D5869">
        <w:trPr>
          <w:gridAfter w:val="1"/>
          <w:wAfter w:w="580" w:type="dxa"/>
          <w:trHeight w:val="1535"/>
        </w:trPr>
        <w:tc>
          <w:tcPr>
            <w:tcW w:w="8640" w:type="dxa"/>
            <w:tcBorders>
              <w:top w:val="double" w:sz="5" w:space="0" w:color="000000"/>
              <w:left w:val="single" w:sz="9" w:space="0" w:color="000000"/>
              <w:bottom w:val="double" w:sz="5" w:space="0" w:color="000000"/>
              <w:right w:val="single" w:sz="9" w:space="0" w:color="000000"/>
            </w:tcBorders>
          </w:tcPr>
          <w:p w:rsidR="00B21227" w:rsidRDefault="00B21227" w:rsidP="0029415D">
            <w:pPr>
              <w:ind w:left="107"/>
              <w:jc w:val="center"/>
              <w:rPr>
                <w:rFonts w:ascii="Arial" w:eastAsia="Arial" w:hAnsi="Arial" w:cs="Arial"/>
                <w:sz w:val="24"/>
              </w:rPr>
            </w:pPr>
          </w:p>
          <w:p w:rsidR="007D5869" w:rsidRDefault="00B21227" w:rsidP="0029415D">
            <w:pPr>
              <w:ind w:left="107"/>
              <w:jc w:val="center"/>
            </w:pPr>
            <w:r>
              <w:rPr>
                <w:rFonts w:ascii="Arial" w:eastAsia="Arial" w:hAnsi="Arial" w:cs="Arial"/>
                <w:sz w:val="24"/>
              </w:rPr>
              <w:t>Monsieur Le Maire de L</w:t>
            </w:r>
            <w:r w:rsidR="0029415D">
              <w:rPr>
                <w:rFonts w:ascii="Arial" w:eastAsia="Arial" w:hAnsi="Arial" w:cs="Arial"/>
                <w:sz w:val="24"/>
              </w:rPr>
              <w:t>angolen</w:t>
            </w:r>
          </w:p>
        </w:tc>
      </w:tr>
      <w:tr w:rsidR="007D5869">
        <w:trPr>
          <w:trHeight w:val="378"/>
        </w:trPr>
        <w:tc>
          <w:tcPr>
            <w:tcW w:w="9220" w:type="dxa"/>
            <w:gridSpan w:val="2"/>
            <w:tcBorders>
              <w:top w:val="double" w:sz="5" w:space="0" w:color="000000"/>
              <w:left w:val="single" w:sz="9" w:space="0" w:color="000000"/>
              <w:bottom w:val="double" w:sz="5" w:space="0" w:color="000000"/>
              <w:right w:val="single" w:sz="8" w:space="0" w:color="000000"/>
            </w:tcBorders>
          </w:tcPr>
          <w:p w:rsidR="007D5869" w:rsidRDefault="00B21227">
            <w:r>
              <w:rPr>
                <w:rFonts w:ascii="Arial" w:eastAsia="Arial" w:hAnsi="Arial" w:cs="Arial"/>
                <w:b/>
                <w:sz w:val="20"/>
              </w:rPr>
              <w:t>Objet du marché</w:t>
            </w:r>
          </w:p>
        </w:tc>
      </w:tr>
      <w:tr w:rsidR="007D5869">
        <w:trPr>
          <w:trHeight w:val="1513"/>
        </w:trPr>
        <w:tc>
          <w:tcPr>
            <w:tcW w:w="9220" w:type="dxa"/>
            <w:gridSpan w:val="2"/>
            <w:tcBorders>
              <w:top w:val="double" w:sz="5" w:space="0" w:color="000000"/>
              <w:left w:val="single" w:sz="9" w:space="0" w:color="000000"/>
              <w:bottom w:val="double" w:sz="5" w:space="0" w:color="000000"/>
              <w:right w:val="single" w:sz="8" w:space="0" w:color="000000"/>
            </w:tcBorders>
          </w:tcPr>
          <w:p w:rsidR="00B21227" w:rsidRDefault="00B21227">
            <w:pPr>
              <w:ind w:left="101"/>
              <w:jc w:val="center"/>
              <w:rPr>
                <w:rFonts w:ascii="Arial" w:eastAsia="Arial" w:hAnsi="Arial" w:cs="Arial"/>
              </w:rPr>
            </w:pPr>
          </w:p>
          <w:p w:rsidR="00B21227" w:rsidRDefault="00B21227">
            <w:pPr>
              <w:ind w:lef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TRAVAUX DE MODERNISATION DE LA VOIRIE COMMUNALE –</w:t>
            </w:r>
          </w:p>
          <w:p w:rsidR="007D5869" w:rsidRDefault="00B21227">
            <w:pPr>
              <w:ind w:left="101"/>
              <w:jc w:val="center"/>
            </w:pPr>
            <w:r>
              <w:rPr>
                <w:rFonts w:ascii="Arial" w:eastAsia="Arial" w:hAnsi="Arial" w:cs="Arial"/>
              </w:rPr>
              <w:t xml:space="preserve"> PROGRAMME 2018</w:t>
            </w:r>
          </w:p>
        </w:tc>
      </w:tr>
    </w:tbl>
    <w:p w:rsidR="007D5869" w:rsidRDefault="007D5869">
      <w:pPr>
        <w:spacing w:after="0"/>
        <w:ind w:left="-3677" w:right="9667"/>
      </w:pPr>
    </w:p>
    <w:p w:rsidR="0029415D" w:rsidRDefault="0029415D">
      <w:pPr>
        <w:spacing w:after="0"/>
        <w:ind w:left="-3677" w:right="9667"/>
      </w:pPr>
    </w:p>
    <w:p w:rsidR="0029415D" w:rsidRDefault="0029415D">
      <w:pPr>
        <w:spacing w:after="0"/>
        <w:ind w:left="-3677" w:right="9667"/>
      </w:pPr>
    </w:p>
    <w:p w:rsidR="0029415D" w:rsidRDefault="0029415D">
      <w:pPr>
        <w:spacing w:after="0"/>
        <w:ind w:left="-3677" w:right="9667"/>
      </w:pPr>
    </w:p>
    <w:p w:rsidR="0029415D" w:rsidRDefault="0029415D">
      <w:pPr>
        <w:spacing w:after="0"/>
        <w:ind w:left="-3677" w:right="9667"/>
      </w:pPr>
    </w:p>
    <w:p w:rsidR="0029415D" w:rsidRDefault="0029415D">
      <w:pPr>
        <w:spacing w:after="0"/>
        <w:ind w:left="-3677" w:right="9667"/>
      </w:pPr>
    </w:p>
    <w:p w:rsidR="0029415D" w:rsidRDefault="0029415D">
      <w:pPr>
        <w:spacing w:after="0"/>
        <w:ind w:left="-3677" w:right="9667"/>
      </w:pPr>
    </w:p>
    <w:p w:rsidR="0029415D" w:rsidRDefault="0029415D">
      <w:pPr>
        <w:spacing w:after="0"/>
        <w:ind w:left="-3677" w:right="9667"/>
      </w:pPr>
    </w:p>
    <w:p w:rsidR="0029415D" w:rsidRDefault="0029415D">
      <w:pPr>
        <w:spacing w:after="0"/>
        <w:ind w:left="-3677" w:right="9667"/>
      </w:pPr>
    </w:p>
    <w:p w:rsidR="0029415D" w:rsidRDefault="0029415D">
      <w:pPr>
        <w:spacing w:after="0"/>
        <w:ind w:left="-3677" w:right="9667"/>
      </w:pPr>
    </w:p>
    <w:p w:rsidR="006336D6" w:rsidRDefault="006336D6">
      <w:pPr>
        <w:spacing w:after="0"/>
        <w:ind w:left="-3677" w:right="9667"/>
      </w:pPr>
    </w:p>
    <w:p w:rsidR="006336D6" w:rsidRDefault="006336D6">
      <w:pPr>
        <w:spacing w:after="0"/>
        <w:ind w:left="-3677" w:right="9667"/>
      </w:pPr>
    </w:p>
    <w:p w:rsidR="006336D6" w:rsidRDefault="006336D6">
      <w:pPr>
        <w:spacing w:after="0"/>
        <w:ind w:left="-3677" w:right="9667"/>
      </w:pPr>
    </w:p>
    <w:p w:rsidR="006336D6" w:rsidRDefault="006336D6">
      <w:pPr>
        <w:spacing w:after="0"/>
        <w:ind w:left="-3677" w:right="9667"/>
      </w:pPr>
    </w:p>
    <w:p w:rsidR="006336D6" w:rsidRDefault="006336D6">
      <w:pPr>
        <w:spacing w:after="0"/>
        <w:ind w:left="-3677" w:right="9667"/>
      </w:pPr>
    </w:p>
    <w:p w:rsidR="006336D6" w:rsidRDefault="006336D6">
      <w:pPr>
        <w:spacing w:after="0"/>
        <w:ind w:left="-3677" w:right="9667"/>
      </w:pPr>
    </w:p>
    <w:p w:rsidR="0029415D" w:rsidRDefault="0029415D">
      <w:pPr>
        <w:spacing w:after="0"/>
        <w:ind w:left="-3677" w:right="9667"/>
      </w:pPr>
    </w:p>
    <w:tbl>
      <w:tblPr>
        <w:tblStyle w:val="TableGrid"/>
        <w:tblW w:w="9900" w:type="dxa"/>
        <w:tblInd w:w="-2622" w:type="dxa"/>
        <w:tblCellMar>
          <w:top w:w="49" w:type="dxa"/>
          <w:left w:w="71" w:type="dxa"/>
          <w:right w:w="91" w:type="dxa"/>
        </w:tblCellMar>
        <w:tblLook w:val="04A0" w:firstRow="1" w:lastRow="0" w:firstColumn="1" w:lastColumn="0" w:noHBand="0" w:noVBand="1"/>
      </w:tblPr>
      <w:tblGrid>
        <w:gridCol w:w="870"/>
        <w:gridCol w:w="7109"/>
        <w:gridCol w:w="1921"/>
      </w:tblGrid>
      <w:tr w:rsidR="007D5869" w:rsidTr="0029415D">
        <w:trPr>
          <w:trHeight w:val="773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B21227">
            <w:pPr>
              <w:ind w:left="29"/>
            </w:pPr>
            <w:r>
              <w:rPr>
                <w:b/>
                <w:sz w:val="24"/>
              </w:rPr>
              <w:t>N° Prix</w:t>
            </w:r>
          </w:p>
        </w:tc>
        <w:tc>
          <w:tcPr>
            <w:tcW w:w="7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B21227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Désignation du Prix et Prix unitaire en toutes lettres (Hors taxes)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B21227">
            <w:pPr>
              <w:jc w:val="center"/>
            </w:pPr>
            <w:r>
              <w:rPr>
                <w:b/>
                <w:sz w:val="20"/>
              </w:rPr>
              <w:t>Prix unitaire en chiffres (HT)</w:t>
            </w:r>
          </w:p>
        </w:tc>
      </w:tr>
      <w:tr w:rsidR="007D5869" w:rsidTr="0029415D">
        <w:trPr>
          <w:trHeight w:val="1663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B21227">
            <w:pPr>
              <w:ind w:left="27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869" w:rsidRDefault="00B21227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Enrobés </w:t>
            </w:r>
            <w:r w:rsidR="0029415D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20 kg/m²</w:t>
            </w:r>
            <w:r w:rsidR="0029415D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</w:t>
            </w:r>
            <w:r w:rsidR="0029415D" w:rsidRPr="00BA30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(chantier de </w:t>
            </w:r>
            <w:proofErr w:type="spellStart"/>
            <w:r w:rsidR="0029415D" w:rsidRPr="00BA3095">
              <w:rPr>
                <w:rFonts w:ascii="Times New Roman" w:eastAsia="Times New Roman" w:hAnsi="Times New Roman" w:cs="Times New Roman"/>
                <w:b/>
                <w:sz w:val="24"/>
              </w:rPr>
              <w:t>Kerdan</w:t>
            </w:r>
            <w:r w:rsidR="007A344C"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 w:rsidR="0029415D" w:rsidRPr="00BA3095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proofErr w:type="spellEnd"/>
            <w:r w:rsidR="0029415D" w:rsidRPr="00BA3095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7D5869" w:rsidRDefault="00B21227" w:rsidP="0029415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Ce prix rémunère la fourniture, le transport et la mise en œuvre de béton bitumineux 0/10 sur chaussée à raison de </w:t>
            </w:r>
            <w:r w:rsidR="0029415D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20 kg/m², comprenant le réglage, le nivellement, le compactage à chaud et toutes sujétions de mise en œuvre. </w:t>
            </w:r>
            <w:r>
              <w:rPr>
                <w:rFonts w:ascii="Arial" w:eastAsia="Arial" w:hAnsi="Arial" w:cs="Arial"/>
                <w:b/>
                <w:sz w:val="20"/>
              </w:rPr>
              <w:t>La tonne :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B21227">
            <w:r>
              <w:rPr>
                <w:b/>
                <w:sz w:val="24"/>
              </w:rPr>
              <w:t>T</w:t>
            </w:r>
          </w:p>
        </w:tc>
      </w:tr>
      <w:tr w:rsidR="007D5869" w:rsidTr="0029415D">
        <w:trPr>
          <w:trHeight w:val="3576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29415D">
            <w:pPr>
              <w:ind w:left="27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415D" w:rsidRDefault="00B21227">
            <w:pPr>
              <w:spacing w:line="317" w:lineRule="auto"/>
              <w:ind w:left="2" w:right="2855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Revêtement bicouche au bitume fluxé </w:t>
            </w:r>
          </w:p>
          <w:p w:rsidR="007D5869" w:rsidRDefault="00B21227">
            <w:pPr>
              <w:spacing w:line="317" w:lineRule="auto"/>
              <w:ind w:left="2" w:right="2855"/>
              <w:jc w:val="both"/>
            </w:pPr>
            <w:r>
              <w:rPr>
                <w:rFonts w:ascii="Arial" w:eastAsia="Arial" w:hAnsi="Arial" w:cs="Arial"/>
                <w:sz w:val="20"/>
              </w:rPr>
              <w:t>Ce prix rémunère :</w:t>
            </w:r>
          </w:p>
          <w:p w:rsidR="007D5869" w:rsidRDefault="00B21227">
            <w:pPr>
              <w:spacing w:line="277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>- La signalisation temporaire, Le balayage et le grattage de la chaussée, l'exécution d'un revêtement bicouche comprenant deux couches de bitume fluxé 80/100 avec un dosage total de 2.3 kg/m2,</w:t>
            </w:r>
            <w:r w:rsidR="0029415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 dopage dans la masse ou en surface, le gravillonnage en gravillons 6.3/10 lavé B1à raison de 8 l/m2 et en 4/6.3 lavé B1 à raison de 7 l/m2, le compactage au compacteur à pneus, l'aspiration ou le balayage des rejets.</w:t>
            </w:r>
          </w:p>
          <w:p w:rsidR="007D5869" w:rsidRDefault="00B21227">
            <w:pPr>
              <w:spacing w:after="199" w:line="277" w:lineRule="auto"/>
              <w:ind w:left="2" w:right="21"/>
            </w:pPr>
            <w:r>
              <w:rPr>
                <w:rFonts w:ascii="Arial" w:eastAsia="Arial" w:hAnsi="Arial" w:cs="Arial"/>
                <w:sz w:val="20"/>
              </w:rPr>
              <w:t xml:space="preserve">Ce prix comprend la fourniture, le transport, et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répandage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bitume fluxé, la fourniture, le chargement le transport et la mise en œuvre de gravillons et s'applique au mètre carré de chaussée revêtue.</w:t>
            </w:r>
          </w:p>
          <w:p w:rsidR="007D5869" w:rsidRDefault="00B2122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Le mètre carré :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B21227">
            <w:r>
              <w:rPr>
                <w:b/>
                <w:sz w:val="24"/>
              </w:rPr>
              <w:t>M²</w:t>
            </w:r>
          </w:p>
        </w:tc>
      </w:tr>
      <w:tr w:rsidR="007D5869" w:rsidTr="0029415D">
        <w:trPr>
          <w:trHeight w:val="2136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29415D">
            <w:pPr>
              <w:ind w:left="27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7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415D" w:rsidRDefault="00B21227">
            <w:pPr>
              <w:spacing w:line="314" w:lineRule="auto"/>
              <w:ind w:left="2" w:right="426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Rabotage chaussées et/ou engravures en rive ou transversales </w:t>
            </w:r>
          </w:p>
          <w:p w:rsidR="007D5869" w:rsidRDefault="00B21227">
            <w:pPr>
              <w:spacing w:line="314" w:lineRule="auto"/>
              <w:ind w:left="2" w:right="426"/>
              <w:jc w:val="both"/>
            </w:pPr>
            <w:r>
              <w:rPr>
                <w:rFonts w:ascii="Arial" w:eastAsia="Arial" w:hAnsi="Arial" w:cs="Arial"/>
                <w:sz w:val="20"/>
              </w:rPr>
              <w:t>Ce prix rémunère :</w:t>
            </w:r>
          </w:p>
          <w:p w:rsidR="007D5869" w:rsidRDefault="0029415D" w:rsidP="0029415D">
            <w:pPr>
              <w:spacing w:line="241" w:lineRule="auto"/>
              <w:ind w:left="2" w:right="3"/>
            </w:pPr>
            <w:r>
              <w:rPr>
                <w:rFonts w:ascii="Arial" w:eastAsia="Arial" w:hAnsi="Arial" w:cs="Arial"/>
                <w:sz w:val="20"/>
              </w:rPr>
              <w:t>-</w:t>
            </w:r>
            <w:r w:rsidR="00B21227">
              <w:rPr>
                <w:rFonts w:ascii="Arial" w:eastAsia="Arial" w:hAnsi="Arial" w:cs="Arial"/>
                <w:sz w:val="20"/>
              </w:rPr>
              <w:t xml:space="preserve">La signalisation temporaire pendant les travaux et jusqu'à la mise en </w:t>
            </w:r>
            <w:r>
              <w:rPr>
                <w:rFonts w:ascii="Arial" w:eastAsia="Arial" w:hAnsi="Arial" w:cs="Arial"/>
                <w:sz w:val="20"/>
              </w:rPr>
              <w:t>œuvre</w:t>
            </w:r>
            <w:r w:rsidR="00B21227">
              <w:rPr>
                <w:rFonts w:ascii="Arial" w:eastAsia="Arial" w:hAnsi="Arial" w:cs="Arial"/>
                <w:sz w:val="20"/>
              </w:rPr>
              <w:t xml:space="preserve"> des enrobés.</w:t>
            </w:r>
          </w:p>
          <w:p w:rsidR="007D5869" w:rsidRDefault="0029415D" w:rsidP="0029415D">
            <w:pPr>
              <w:spacing w:after="59"/>
              <w:ind w:left="2" w:right="3"/>
            </w:pPr>
            <w:r>
              <w:rPr>
                <w:rFonts w:ascii="Arial" w:eastAsia="Arial" w:hAnsi="Arial" w:cs="Arial"/>
                <w:sz w:val="20"/>
              </w:rPr>
              <w:t>-</w:t>
            </w:r>
            <w:r w:rsidR="00B21227">
              <w:rPr>
                <w:rFonts w:ascii="Arial" w:eastAsia="Arial" w:hAnsi="Arial" w:cs="Arial"/>
                <w:sz w:val="20"/>
              </w:rPr>
              <w:t>Le rabotage de chaussées et/ou engravures en rive ou transversales sur une profondeur moyenne inférieure ou égale à 5 cm, y compris aspiration, transport et mise en dépôt des matériaux.</w:t>
            </w:r>
          </w:p>
          <w:p w:rsidR="007D5869" w:rsidRDefault="00B2122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Le mètre carré :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B21227">
            <w:r>
              <w:rPr>
                <w:b/>
                <w:sz w:val="24"/>
              </w:rPr>
              <w:t>M²</w:t>
            </w:r>
          </w:p>
        </w:tc>
      </w:tr>
      <w:tr w:rsidR="007D5869" w:rsidTr="00BA3095">
        <w:trPr>
          <w:trHeight w:val="2503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29415D">
            <w:pPr>
              <w:ind w:left="27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29415D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Confection de trottoirs en enrobé 0/6 à 90 kg/m</w:t>
            </w:r>
            <w:r w:rsidRPr="0029415D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  <w:vertAlign w:val="superscript"/>
              </w:rPr>
              <w:t>2</w:t>
            </w:r>
            <w:r w:rsidR="00B21227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</w:t>
            </w:r>
          </w:p>
          <w:p w:rsidR="0029415D" w:rsidRDefault="00B21227" w:rsidP="000C0DE8">
            <w:pPr>
              <w:spacing w:line="277" w:lineRule="auto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Ce prix rémunère</w:t>
            </w:r>
            <w:r w:rsidR="0029415D">
              <w:rPr>
                <w:rFonts w:ascii="Arial" w:eastAsia="Arial" w:hAnsi="Arial" w:cs="Arial"/>
                <w:sz w:val="20"/>
              </w:rPr>
              <w:t xml:space="preserve"> : </w:t>
            </w:r>
          </w:p>
          <w:p w:rsidR="0029415D" w:rsidRDefault="0029415D" w:rsidP="000C0DE8">
            <w:pPr>
              <w:spacing w:line="277" w:lineRule="auto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-La confection de trottoirs comprenant la fourniture, le transport et la mise en œuvre d’enrobés 0/6 manuellement ou mécaniquement à raison de 90 kg par m</w:t>
            </w:r>
            <w:r w:rsidRPr="0029415D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="000C0DE8"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 w:rsidR="000C0DE8" w:rsidRPr="000C0DE8">
              <w:rPr>
                <w:rFonts w:ascii="Arial" w:eastAsia="Arial" w:hAnsi="Arial" w:cs="Arial"/>
                <w:sz w:val="20"/>
              </w:rPr>
              <w:t>pour</w:t>
            </w:r>
            <w:r w:rsidR="000C0DE8">
              <w:rPr>
                <w:rFonts w:ascii="Arial" w:eastAsia="Arial" w:hAnsi="Arial" w:cs="Arial"/>
                <w:sz w:val="20"/>
              </w:rPr>
              <w:t xml:space="preserve"> finition, couche d’accrochage, compactage. Toutes fournitures, sujétions et main-d’œuvre comprise.</w:t>
            </w:r>
          </w:p>
          <w:p w:rsidR="007D5869" w:rsidRDefault="00B21227" w:rsidP="0029415D">
            <w:pPr>
              <w:spacing w:after="278" w:line="277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Le mètre carré :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B21227">
            <w:r>
              <w:rPr>
                <w:b/>
                <w:sz w:val="24"/>
              </w:rPr>
              <w:t>M²</w:t>
            </w:r>
          </w:p>
        </w:tc>
      </w:tr>
      <w:tr w:rsidR="007D5869" w:rsidTr="0029415D">
        <w:trPr>
          <w:trHeight w:val="1663"/>
        </w:trPr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B21227">
            <w:pPr>
              <w:ind w:left="27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7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869" w:rsidRDefault="00B21227">
            <w:pPr>
              <w:spacing w:after="2"/>
              <w:ind w:left="2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Découpe de chaussée</w:t>
            </w:r>
          </w:p>
          <w:p w:rsidR="007D5869" w:rsidRDefault="00B21227">
            <w:pPr>
              <w:spacing w:line="277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>Ce prix rémunère la découpe soignée du revêtement de chaussée existante comprenant toutes sujétions dues au raccordement de la chaussée neuve, et l'évacuation des produits en un lieu approprié.</w:t>
            </w:r>
          </w:p>
          <w:p w:rsidR="007D5869" w:rsidRDefault="00B2122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Le mètre :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869" w:rsidRDefault="00B21227">
            <w:r>
              <w:rPr>
                <w:b/>
                <w:sz w:val="24"/>
              </w:rPr>
              <w:t>Ml</w:t>
            </w:r>
          </w:p>
        </w:tc>
      </w:tr>
    </w:tbl>
    <w:p w:rsidR="007D5869" w:rsidRDefault="007D5869" w:rsidP="006336D6">
      <w:pPr>
        <w:spacing w:after="0"/>
        <w:ind w:left="-2694"/>
      </w:pPr>
    </w:p>
    <w:p w:rsidR="006336D6" w:rsidRDefault="006336D6" w:rsidP="006336D6">
      <w:pPr>
        <w:spacing w:after="0"/>
        <w:ind w:left="-2694"/>
      </w:pPr>
      <w:r>
        <w:t>A                             , 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A Langolen, le </w:t>
      </w:r>
    </w:p>
    <w:p w:rsidR="006336D6" w:rsidRDefault="006336D6" w:rsidP="006336D6">
      <w:pPr>
        <w:spacing w:after="0"/>
        <w:ind w:left="-2694"/>
      </w:pPr>
      <w:r>
        <w:t>Le candidat                                                                                                                   Le Maire de Langolen</w:t>
      </w:r>
    </w:p>
    <w:p w:rsidR="006336D6" w:rsidRDefault="006336D6" w:rsidP="006336D6">
      <w:pPr>
        <w:spacing w:after="0"/>
        <w:ind w:left="-2694"/>
      </w:pPr>
      <w:r>
        <w:t xml:space="preserve">                                                                                                                                        Jean-René CORNIC</w:t>
      </w:r>
    </w:p>
    <w:sectPr w:rsidR="006336D6" w:rsidSect="006336D6">
      <w:pgSz w:w="11906" w:h="16838"/>
      <w:pgMar w:top="510" w:right="2240" w:bottom="113" w:left="3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0AC8"/>
    <w:multiLevelType w:val="hybridMultilevel"/>
    <w:tmpl w:val="867A564C"/>
    <w:lvl w:ilvl="0" w:tplc="2A08C21A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A8218">
      <w:start w:val="1"/>
      <w:numFmt w:val="bullet"/>
      <w:lvlText w:val="o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50E41C">
      <w:start w:val="1"/>
      <w:numFmt w:val="bullet"/>
      <w:lvlText w:val="▪"/>
      <w:lvlJc w:val="left"/>
      <w:pPr>
        <w:ind w:left="1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2BA7E">
      <w:start w:val="1"/>
      <w:numFmt w:val="bullet"/>
      <w:lvlText w:val="•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C382">
      <w:start w:val="1"/>
      <w:numFmt w:val="bullet"/>
      <w:lvlText w:val="o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4DB02">
      <w:start w:val="1"/>
      <w:numFmt w:val="bullet"/>
      <w:lvlText w:val="▪"/>
      <w:lvlJc w:val="left"/>
      <w:pPr>
        <w:ind w:left="4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9E320E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528D66">
      <w:start w:val="1"/>
      <w:numFmt w:val="bullet"/>
      <w:lvlText w:val="o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0A94E">
      <w:start w:val="1"/>
      <w:numFmt w:val="bullet"/>
      <w:lvlText w:val="▪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69"/>
    <w:rsid w:val="000C0DE8"/>
    <w:rsid w:val="0029415D"/>
    <w:rsid w:val="006336D6"/>
    <w:rsid w:val="007A344C"/>
    <w:rsid w:val="007D5869"/>
    <w:rsid w:val="00B21227"/>
    <w:rsid w:val="00B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1268-9992-43A8-BC41-795BF9F0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2</cp:revision>
  <dcterms:created xsi:type="dcterms:W3CDTF">2018-04-20T12:57:00Z</dcterms:created>
  <dcterms:modified xsi:type="dcterms:W3CDTF">2018-04-20T12:57:00Z</dcterms:modified>
</cp:coreProperties>
</file>