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F0" w:rsidRDefault="004045F0">
      <w:pPr>
        <w:spacing w:after="710" w:line="259" w:lineRule="auto"/>
        <w:ind w:left="677" w:right="117" w:firstLine="0"/>
        <w:jc w:val="center"/>
        <w:rPr>
          <w:b/>
          <w:sz w:val="30"/>
          <w:u w:val="single" w:color="000000"/>
        </w:rPr>
      </w:pPr>
    </w:p>
    <w:p w:rsidR="004045F0" w:rsidRDefault="004045F0">
      <w:pPr>
        <w:spacing w:after="710" w:line="259" w:lineRule="auto"/>
        <w:ind w:left="677" w:right="117" w:firstLine="0"/>
        <w:jc w:val="center"/>
        <w:rPr>
          <w:b/>
          <w:sz w:val="30"/>
          <w:u w:val="single" w:color="000000"/>
        </w:rPr>
      </w:pPr>
    </w:p>
    <w:p w:rsidR="00FF19CF" w:rsidRDefault="00E361F2">
      <w:pPr>
        <w:spacing w:after="710" w:line="259" w:lineRule="auto"/>
        <w:ind w:left="677" w:right="117" w:firstLine="0"/>
        <w:jc w:val="center"/>
        <w:rPr>
          <w:b/>
          <w:sz w:val="30"/>
          <w:u w:val="single" w:color="000000"/>
        </w:rPr>
      </w:pPr>
      <w:r>
        <w:rPr>
          <w:b/>
          <w:sz w:val="30"/>
          <w:u w:val="single" w:color="000000"/>
        </w:rPr>
        <w:t>MARCH</w:t>
      </w:r>
      <w:r w:rsidR="004045F0">
        <w:rPr>
          <w:b/>
          <w:sz w:val="30"/>
          <w:u w:val="single" w:color="000000"/>
        </w:rPr>
        <w:t>É</w:t>
      </w:r>
      <w:r>
        <w:rPr>
          <w:b/>
          <w:sz w:val="30"/>
          <w:u w:val="single" w:color="000000"/>
        </w:rPr>
        <w:t xml:space="preserve"> PUBLIC DE TRAVAUX CAHIER DES CLAUSE</w:t>
      </w:r>
      <w:r w:rsidR="004045F0">
        <w:rPr>
          <w:b/>
          <w:sz w:val="30"/>
          <w:u w:val="single" w:color="000000"/>
        </w:rPr>
        <w:t>S</w:t>
      </w:r>
      <w:r>
        <w:rPr>
          <w:b/>
          <w:sz w:val="30"/>
          <w:u w:val="single" w:color="000000"/>
        </w:rPr>
        <w:t xml:space="preserve"> TECHNIQUES PARTICULI</w:t>
      </w:r>
      <w:r w:rsidR="004045F0">
        <w:rPr>
          <w:rFonts w:ascii="Ebrima" w:hAnsi="Ebrima"/>
          <w:b/>
          <w:sz w:val="30"/>
          <w:u w:val="single" w:color="000000"/>
        </w:rPr>
        <w:t>È</w:t>
      </w:r>
      <w:r>
        <w:rPr>
          <w:b/>
          <w:sz w:val="30"/>
          <w:u w:val="single" w:color="000000"/>
        </w:rPr>
        <w:t>RES</w:t>
      </w:r>
    </w:p>
    <w:p w:rsidR="004045F0" w:rsidRDefault="004045F0">
      <w:pPr>
        <w:spacing w:after="710" w:line="259" w:lineRule="auto"/>
        <w:ind w:left="677" w:right="117" w:firstLine="0"/>
        <w:jc w:val="center"/>
        <w:rPr>
          <w:b/>
          <w:sz w:val="30"/>
          <w:u w:val="single" w:color="000000"/>
        </w:rPr>
      </w:pPr>
    </w:p>
    <w:p w:rsidR="004045F0" w:rsidRDefault="004045F0">
      <w:pPr>
        <w:spacing w:after="710" w:line="259" w:lineRule="auto"/>
        <w:ind w:left="677" w:right="117" w:firstLine="0"/>
        <w:jc w:val="center"/>
        <w:rPr>
          <w:b/>
          <w:sz w:val="30"/>
          <w:u w:val="single" w:color="000000"/>
        </w:rPr>
      </w:pPr>
    </w:p>
    <w:p w:rsidR="004045F0" w:rsidRDefault="004045F0">
      <w:pPr>
        <w:spacing w:after="710" w:line="259" w:lineRule="auto"/>
        <w:ind w:left="677" w:right="117" w:firstLine="0"/>
        <w:jc w:val="center"/>
      </w:pPr>
    </w:p>
    <w:tbl>
      <w:tblPr>
        <w:tblStyle w:val="TableGrid"/>
        <w:tblW w:w="8640" w:type="dxa"/>
        <w:tblInd w:w="215" w:type="dxa"/>
        <w:tblCellMar>
          <w:left w:w="13" w:type="dxa"/>
          <w:right w:w="115" w:type="dxa"/>
        </w:tblCellMar>
        <w:tblLook w:val="04A0" w:firstRow="1" w:lastRow="0" w:firstColumn="1" w:lastColumn="0" w:noHBand="0" w:noVBand="1"/>
      </w:tblPr>
      <w:tblGrid>
        <w:gridCol w:w="200"/>
        <w:gridCol w:w="8103"/>
        <w:gridCol w:w="337"/>
      </w:tblGrid>
      <w:tr w:rsidR="00FF19CF">
        <w:trPr>
          <w:gridBefore w:val="1"/>
          <w:gridAfter w:val="1"/>
          <w:wBefore w:w="215" w:type="dxa"/>
          <w:wAfter w:w="365" w:type="dxa"/>
          <w:trHeight w:val="378"/>
        </w:trPr>
        <w:tc>
          <w:tcPr>
            <w:tcW w:w="8640" w:type="dxa"/>
            <w:tcBorders>
              <w:top w:val="double" w:sz="5" w:space="0" w:color="000000"/>
              <w:left w:val="single" w:sz="9" w:space="0" w:color="000000"/>
              <w:bottom w:val="double" w:sz="5" w:space="0" w:color="000000"/>
              <w:right w:val="single" w:sz="9" w:space="0" w:color="000000"/>
            </w:tcBorders>
          </w:tcPr>
          <w:p w:rsidR="00FF19CF" w:rsidRDefault="00E361F2">
            <w:pPr>
              <w:spacing w:after="0" w:line="259" w:lineRule="auto"/>
              <w:ind w:left="0" w:firstLine="0"/>
            </w:pPr>
            <w:r>
              <w:rPr>
                <w:b/>
                <w:sz w:val="20"/>
              </w:rPr>
              <w:t>Représentant du pouvoir adjudicateur</w:t>
            </w:r>
          </w:p>
        </w:tc>
      </w:tr>
      <w:tr w:rsidR="00FF19CF">
        <w:trPr>
          <w:gridBefore w:val="1"/>
          <w:gridAfter w:val="1"/>
          <w:wBefore w:w="215" w:type="dxa"/>
          <w:wAfter w:w="365" w:type="dxa"/>
          <w:trHeight w:val="1535"/>
        </w:trPr>
        <w:tc>
          <w:tcPr>
            <w:tcW w:w="8640" w:type="dxa"/>
            <w:tcBorders>
              <w:top w:val="double" w:sz="5" w:space="0" w:color="000000"/>
              <w:left w:val="single" w:sz="9" w:space="0" w:color="000000"/>
              <w:bottom w:val="double" w:sz="5" w:space="0" w:color="000000"/>
              <w:right w:val="single" w:sz="9" w:space="0" w:color="000000"/>
            </w:tcBorders>
          </w:tcPr>
          <w:p w:rsidR="00FF19CF" w:rsidRDefault="00E361F2" w:rsidP="004045F0">
            <w:pPr>
              <w:spacing w:after="0" w:line="259" w:lineRule="auto"/>
              <w:ind w:left="105" w:firstLine="0"/>
              <w:jc w:val="center"/>
            </w:pPr>
            <w:r>
              <w:t>Monsieur le Maire de L</w:t>
            </w:r>
            <w:r w:rsidR="004045F0">
              <w:t>angolen</w:t>
            </w:r>
          </w:p>
        </w:tc>
      </w:tr>
      <w:tr w:rsidR="00FF19CF">
        <w:trPr>
          <w:trHeight w:val="378"/>
        </w:trPr>
        <w:tc>
          <w:tcPr>
            <w:tcW w:w="9220" w:type="dxa"/>
            <w:gridSpan w:val="3"/>
            <w:tcBorders>
              <w:top w:val="double" w:sz="5" w:space="0" w:color="000000"/>
              <w:left w:val="single" w:sz="9" w:space="0" w:color="000000"/>
              <w:bottom w:val="double" w:sz="5" w:space="0" w:color="000000"/>
              <w:right w:val="single" w:sz="8" w:space="0" w:color="000000"/>
            </w:tcBorders>
          </w:tcPr>
          <w:p w:rsidR="00FF19CF" w:rsidRDefault="00E361F2">
            <w:pPr>
              <w:spacing w:after="0" w:line="259" w:lineRule="auto"/>
              <w:ind w:left="0" w:firstLine="0"/>
            </w:pPr>
            <w:r>
              <w:rPr>
                <w:b/>
                <w:sz w:val="20"/>
              </w:rPr>
              <w:t>Objet du marché</w:t>
            </w:r>
          </w:p>
        </w:tc>
      </w:tr>
      <w:tr w:rsidR="00FF19CF">
        <w:trPr>
          <w:trHeight w:val="1513"/>
        </w:trPr>
        <w:tc>
          <w:tcPr>
            <w:tcW w:w="9220" w:type="dxa"/>
            <w:gridSpan w:val="3"/>
            <w:tcBorders>
              <w:top w:val="double" w:sz="5" w:space="0" w:color="000000"/>
              <w:left w:val="single" w:sz="9" w:space="0" w:color="000000"/>
              <w:bottom w:val="double" w:sz="5" w:space="0" w:color="000000"/>
              <w:right w:val="single" w:sz="8" w:space="0" w:color="000000"/>
            </w:tcBorders>
          </w:tcPr>
          <w:p w:rsidR="004045F0" w:rsidRDefault="00E361F2">
            <w:pPr>
              <w:spacing w:after="0" w:line="259" w:lineRule="auto"/>
              <w:ind w:left="101" w:firstLine="0"/>
              <w:jc w:val="center"/>
              <w:rPr>
                <w:sz w:val="22"/>
              </w:rPr>
            </w:pPr>
            <w:r>
              <w:rPr>
                <w:sz w:val="22"/>
              </w:rPr>
              <w:t xml:space="preserve">TRAVAUX DE MODERNISATION DE LA VOIRIE COMMUNALE – </w:t>
            </w:r>
          </w:p>
          <w:p w:rsidR="00FF19CF" w:rsidRDefault="00E361F2">
            <w:pPr>
              <w:spacing w:after="0" w:line="259" w:lineRule="auto"/>
              <w:ind w:left="101" w:firstLine="0"/>
              <w:jc w:val="center"/>
            </w:pPr>
            <w:r>
              <w:rPr>
                <w:sz w:val="22"/>
              </w:rPr>
              <w:t>PROGRAMME 2018</w:t>
            </w:r>
          </w:p>
        </w:tc>
      </w:tr>
    </w:tbl>
    <w:p w:rsidR="004045F0" w:rsidRDefault="004045F0">
      <w:pPr>
        <w:pStyle w:val="Titre1"/>
        <w:tabs>
          <w:tab w:val="center" w:pos="3379"/>
        </w:tabs>
        <w:ind w:left="-15" w:firstLine="0"/>
        <w:rPr>
          <w:u w:val="none"/>
        </w:rPr>
      </w:pPr>
    </w:p>
    <w:p w:rsidR="004045F0" w:rsidRPr="004045F0" w:rsidRDefault="004045F0" w:rsidP="004045F0"/>
    <w:p w:rsidR="004045F0" w:rsidRDefault="004045F0">
      <w:pPr>
        <w:pStyle w:val="Titre1"/>
        <w:tabs>
          <w:tab w:val="center" w:pos="3379"/>
        </w:tabs>
        <w:ind w:left="-15" w:firstLine="0"/>
        <w:rPr>
          <w:u w:val="none"/>
        </w:rPr>
      </w:pPr>
    </w:p>
    <w:p w:rsidR="004045F0" w:rsidRDefault="004045F0">
      <w:pPr>
        <w:pStyle w:val="Titre1"/>
        <w:tabs>
          <w:tab w:val="center" w:pos="3379"/>
        </w:tabs>
        <w:ind w:left="-15" w:firstLine="0"/>
        <w:rPr>
          <w:u w:val="none"/>
        </w:rPr>
      </w:pPr>
    </w:p>
    <w:p w:rsidR="004045F0" w:rsidRPr="004045F0" w:rsidRDefault="004045F0" w:rsidP="004045F0"/>
    <w:p w:rsidR="004045F0" w:rsidRPr="004045F0" w:rsidRDefault="004045F0">
      <w:pPr>
        <w:pStyle w:val="Titre1"/>
        <w:tabs>
          <w:tab w:val="center" w:pos="3379"/>
        </w:tabs>
        <w:ind w:left="-15" w:firstLine="0"/>
        <w:rPr>
          <w:u w:val="none"/>
          <w:bdr w:val="single" w:sz="4" w:space="0" w:color="auto"/>
        </w:rPr>
      </w:pPr>
      <w:r w:rsidRPr="004045F0">
        <w:rPr>
          <w:u w:val="none"/>
          <w:bdr w:val="single" w:sz="4" w:space="0" w:color="auto"/>
        </w:rPr>
        <w:lastRenderedPageBreak/>
        <w:t>SOMMAIRE</w:t>
      </w:r>
    </w:p>
    <w:p w:rsidR="00FF19CF" w:rsidRDefault="00E361F2">
      <w:pPr>
        <w:pStyle w:val="Titre1"/>
        <w:tabs>
          <w:tab w:val="center" w:pos="3379"/>
        </w:tabs>
        <w:ind w:left="-15" w:firstLine="0"/>
      </w:pPr>
      <w:r>
        <w:rPr>
          <w:u w:val="none"/>
        </w:rPr>
        <w:t>C</w:t>
      </w:r>
      <w:r>
        <w:t>HAPITRE I</w:t>
      </w:r>
      <w:r>
        <w:tab/>
        <w:t>DESCRIPTION DES OUVRAGES</w:t>
      </w:r>
    </w:p>
    <w:p w:rsidR="00FF19CF" w:rsidRDefault="00E361F2">
      <w:pPr>
        <w:tabs>
          <w:tab w:val="center" w:pos="2347"/>
        </w:tabs>
        <w:ind w:left="-15" w:firstLine="0"/>
      </w:pPr>
      <w:r>
        <w:t>Article 1.01</w:t>
      </w:r>
      <w:r>
        <w:tab/>
        <w:t>Objet du C.C.T.P.</w:t>
      </w:r>
    </w:p>
    <w:p w:rsidR="00FF19CF" w:rsidRDefault="00E361F2">
      <w:pPr>
        <w:tabs>
          <w:tab w:val="center" w:pos="2717"/>
        </w:tabs>
        <w:ind w:left="-15" w:firstLine="0"/>
      </w:pPr>
      <w:r>
        <w:t>Article 1.02</w:t>
      </w:r>
      <w:r>
        <w:tab/>
        <w:t>Consistance des travaux</w:t>
      </w:r>
    </w:p>
    <w:p w:rsidR="00FF19CF" w:rsidRDefault="00E361F2">
      <w:pPr>
        <w:tabs>
          <w:tab w:val="center" w:pos="2831"/>
        </w:tabs>
        <w:spacing w:after="11"/>
        <w:ind w:left="-15" w:firstLine="0"/>
      </w:pPr>
      <w:r>
        <w:rPr>
          <w:b/>
          <w:u w:val="single" w:color="000000"/>
        </w:rPr>
        <w:t>CHAPITRE II</w:t>
      </w:r>
      <w:r>
        <w:rPr>
          <w:b/>
          <w:u w:val="single" w:color="000000"/>
        </w:rPr>
        <w:tab/>
        <w:t>SPECIFICATION DES</w:t>
      </w:r>
    </w:p>
    <w:p w:rsidR="00FF19CF" w:rsidRDefault="00E361F2">
      <w:pPr>
        <w:pStyle w:val="Titre1"/>
        <w:spacing w:after="11"/>
        <w:ind w:left="-5"/>
      </w:pPr>
      <w:r>
        <w:t>MATERIAUX, PRODUITS ET ELEMENTS</w:t>
      </w:r>
    </w:p>
    <w:tbl>
      <w:tblPr>
        <w:tblStyle w:val="TableGrid"/>
        <w:tblW w:w="4913" w:type="dxa"/>
        <w:tblInd w:w="0" w:type="dxa"/>
        <w:tblLook w:val="04A0" w:firstRow="1" w:lastRow="0" w:firstColumn="1" w:lastColumn="0" w:noHBand="0" w:noVBand="1"/>
      </w:tblPr>
      <w:tblGrid>
        <w:gridCol w:w="1402"/>
        <w:gridCol w:w="3511"/>
      </w:tblGrid>
      <w:tr w:rsidR="00FF19CF">
        <w:trPr>
          <w:trHeight w:val="442"/>
        </w:trPr>
        <w:tc>
          <w:tcPr>
            <w:tcW w:w="1402" w:type="dxa"/>
            <w:tcBorders>
              <w:top w:val="nil"/>
              <w:left w:val="nil"/>
              <w:bottom w:val="nil"/>
              <w:right w:val="nil"/>
            </w:tcBorders>
          </w:tcPr>
          <w:p w:rsidR="00FF19CF" w:rsidRDefault="00E361F2">
            <w:pPr>
              <w:spacing w:after="0" w:line="259" w:lineRule="auto"/>
              <w:ind w:left="0" w:firstLine="0"/>
            </w:pPr>
            <w:r>
              <w:t>Article 2.01</w:t>
            </w:r>
          </w:p>
        </w:tc>
        <w:tc>
          <w:tcPr>
            <w:tcW w:w="3511" w:type="dxa"/>
            <w:tcBorders>
              <w:top w:val="nil"/>
              <w:left w:val="nil"/>
              <w:bottom w:val="nil"/>
              <w:right w:val="nil"/>
            </w:tcBorders>
          </w:tcPr>
          <w:p w:rsidR="00FF19CF" w:rsidRDefault="00E361F2">
            <w:pPr>
              <w:spacing w:after="0" w:line="259" w:lineRule="auto"/>
              <w:ind w:left="0" w:firstLine="0"/>
            </w:pPr>
            <w:r>
              <w:t>Provenance des matériaux</w:t>
            </w:r>
          </w:p>
        </w:tc>
      </w:tr>
      <w:tr w:rsidR="00FF19CF">
        <w:trPr>
          <w:trHeight w:val="557"/>
        </w:trPr>
        <w:tc>
          <w:tcPr>
            <w:tcW w:w="1402" w:type="dxa"/>
            <w:tcBorders>
              <w:top w:val="nil"/>
              <w:left w:val="nil"/>
              <w:bottom w:val="nil"/>
              <w:right w:val="nil"/>
            </w:tcBorders>
            <w:vAlign w:val="center"/>
          </w:tcPr>
          <w:p w:rsidR="00FF19CF" w:rsidRDefault="00E361F2">
            <w:pPr>
              <w:spacing w:after="0" w:line="259" w:lineRule="auto"/>
              <w:ind w:left="0" w:firstLine="0"/>
            </w:pPr>
            <w:r>
              <w:t>Article 2.02</w:t>
            </w:r>
          </w:p>
        </w:tc>
        <w:tc>
          <w:tcPr>
            <w:tcW w:w="3511" w:type="dxa"/>
            <w:tcBorders>
              <w:top w:val="nil"/>
              <w:left w:val="nil"/>
              <w:bottom w:val="nil"/>
              <w:right w:val="nil"/>
            </w:tcBorders>
            <w:vAlign w:val="center"/>
          </w:tcPr>
          <w:p w:rsidR="00FF19CF" w:rsidRDefault="00E361F2">
            <w:pPr>
              <w:spacing w:after="0" w:line="259" w:lineRule="auto"/>
              <w:ind w:left="0" w:firstLine="0"/>
            </w:pPr>
            <w:r>
              <w:t>Liants</w:t>
            </w:r>
          </w:p>
        </w:tc>
      </w:tr>
      <w:tr w:rsidR="00FF19CF">
        <w:trPr>
          <w:trHeight w:val="556"/>
        </w:trPr>
        <w:tc>
          <w:tcPr>
            <w:tcW w:w="1402" w:type="dxa"/>
            <w:tcBorders>
              <w:top w:val="nil"/>
              <w:left w:val="nil"/>
              <w:bottom w:val="nil"/>
              <w:right w:val="nil"/>
            </w:tcBorders>
            <w:vAlign w:val="center"/>
          </w:tcPr>
          <w:p w:rsidR="00FF19CF" w:rsidRDefault="00E361F2">
            <w:pPr>
              <w:spacing w:after="0" w:line="259" w:lineRule="auto"/>
              <w:ind w:left="0" w:firstLine="0"/>
            </w:pPr>
            <w:r>
              <w:t>Article 2.03</w:t>
            </w:r>
          </w:p>
        </w:tc>
        <w:tc>
          <w:tcPr>
            <w:tcW w:w="3511" w:type="dxa"/>
            <w:tcBorders>
              <w:top w:val="nil"/>
              <w:left w:val="nil"/>
              <w:bottom w:val="nil"/>
              <w:right w:val="nil"/>
            </w:tcBorders>
            <w:vAlign w:val="center"/>
          </w:tcPr>
          <w:p w:rsidR="00FF19CF" w:rsidRDefault="00E361F2">
            <w:pPr>
              <w:spacing w:after="0" w:line="259" w:lineRule="auto"/>
              <w:ind w:left="0" w:firstLine="0"/>
            </w:pPr>
            <w:r>
              <w:t>Granulats pour enrobés</w:t>
            </w:r>
          </w:p>
        </w:tc>
      </w:tr>
      <w:tr w:rsidR="00FF19CF">
        <w:trPr>
          <w:trHeight w:val="556"/>
        </w:trPr>
        <w:tc>
          <w:tcPr>
            <w:tcW w:w="1402" w:type="dxa"/>
            <w:tcBorders>
              <w:top w:val="nil"/>
              <w:left w:val="nil"/>
              <w:bottom w:val="nil"/>
              <w:right w:val="nil"/>
            </w:tcBorders>
            <w:vAlign w:val="center"/>
          </w:tcPr>
          <w:p w:rsidR="00FF19CF" w:rsidRDefault="00E361F2">
            <w:pPr>
              <w:spacing w:after="0" w:line="259" w:lineRule="auto"/>
              <w:ind w:left="0" w:firstLine="0"/>
            </w:pPr>
            <w:r>
              <w:t>Article 2.04</w:t>
            </w:r>
          </w:p>
        </w:tc>
        <w:tc>
          <w:tcPr>
            <w:tcW w:w="3511" w:type="dxa"/>
            <w:tcBorders>
              <w:top w:val="nil"/>
              <w:left w:val="nil"/>
              <w:bottom w:val="nil"/>
              <w:right w:val="nil"/>
            </w:tcBorders>
            <w:vAlign w:val="center"/>
          </w:tcPr>
          <w:p w:rsidR="00FF19CF" w:rsidRDefault="00E361F2">
            <w:pPr>
              <w:spacing w:after="0" w:line="259" w:lineRule="auto"/>
              <w:ind w:left="2" w:firstLine="0"/>
            </w:pPr>
            <w:r>
              <w:t>Formulation</w:t>
            </w:r>
          </w:p>
        </w:tc>
      </w:tr>
      <w:tr w:rsidR="00FF19CF">
        <w:trPr>
          <w:trHeight w:val="557"/>
        </w:trPr>
        <w:tc>
          <w:tcPr>
            <w:tcW w:w="1402" w:type="dxa"/>
            <w:tcBorders>
              <w:top w:val="nil"/>
              <w:left w:val="nil"/>
              <w:bottom w:val="nil"/>
              <w:right w:val="nil"/>
            </w:tcBorders>
            <w:vAlign w:val="center"/>
          </w:tcPr>
          <w:p w:rsidR="00FF19CF" w:rsidRDefault="00E361F2">
            <w:pPr>
              <w:spacing w:after="0" w:line="259" w:lineRule="auto"/>
              <w:ind w:left="0" w:firstLine="0"/>
            </w:pPr>
            <w:r>
              <w:t>Article 2.05</w:t>
            </w:r>
          </w:p>
        </w:tc>
        <w:tc>
          <w:tcPr>
            <w:tcW w:w="3511" w:type="dxa"/>
            <w:tcBorders>
              <w:top w:val="nil"/>
              <w:left w:val="nil"/>
              <w:bottom w:val="nil"/>
              <w:right w:val="nil"/>
            </w:tcBorders>
            <w:vAlign w:val="center"/>
          </w:tcPr>
          <w:p w:rsidR="00FF19CF" w:rsidRDefault="00E361F2">
            <w:pPr>
              <w:spacing w:after="0" w:line="259" w:lineRule="auto"/>
              <w:ind w:left="2" w:firstLine="0"/>
            </w:pPr>
            <w:r>
              <w:t>Fines d'apport</w:t>
            </w:r>
          </w:p>
        </w:tc>
      </w:tr>
      <w:tr w:rsidR="00FF19CF">
        <w:trPr>
          <w:trHeight w:val="556"/>
        </w:trPr>
        <w:tc>
          <w:tcPr>
            <w:tcW w:w="1402" w:type="dxa"/>
            <w:tcBorders>
              <w:top w:val="nil"/>
              <w:left w:val="nil"/>
              <w:bottom w:val="nil"/>
              <w:right w:val="nil"/>
            </w:tcBorders>
            <w:vAlign w:val="center"/>
          </w:tcPr>
          <w:p w:rsidR="00FF19CF" w:rsidRDefault="00E361F2">
            <w:pPr>
              <w:spacing w:after="0" w:line="259" w:lineRule="auto"/>
              <w:ind w:left="0" w:firstLine="0"/>
            </w:pPr>
            <w:r>
              <w:t>Article 2.06</w:t>
            </w:r>
          </w:p>
        </w:tc>
        <w:tc>
          <w:tcPr>
            <w:tcW w:w="3511" w:type="dxa"/>
            <w:tcBorders>
              <w:top w:val="nil"/>
              <w:left w:val="nil"/>
              <w:bottom w:val="nil"/>
              <w:right w:val="nil"/>
            </w:tcBorders>
            <w:vAlign w:val="center"/>
          </w:tcPr>
          <w:p w:rsidR="00FF19CF" w:rsidRDefault="00E361F2">
            <w:pPr>
              <w:spacing w:after="0" w:line="259" w:lineRule="auto"/>
              <w:ind w:left="0" w:firstLine="0"/>
              <w:jc w:val="both"/>
            </w:pPr>
            <w:r>
              <w:t>Liants pour couche d'accrochage</w:t>
            </w:r>
          </w:p>
        </w:tc>
      </w:tr>
      <w:tr w:rsidR="00FF19CF">
        <w:trPr>
          <w:trHeight w:val="441"/>
        </w:trPr>
        <w:tc>
          <w:tcPr>
            <w:tcW w:w="1402" w:type="dxa"/>
            <w:tcBorders>
              <w:top w:val="nil"/>
              <w:left w:val="nil"/>
              <w:bottom w:val="nil"/>
              <w:right w:val="nil"/>
            </w:tcBorders>
            <w:vAlign w:val="bottom"/>
          </w:tcPr>
          <w:p w:rsidR="00FF19CF" w:rsidRDefault="00E361F2">
            <w:pPr>
              <w:spacing w:after="0" w:line="259" w:lineRule="auto"/>
              <w:ind w:left="0" w:firstLine="0"/>
            </w:pPr>
            <w:r>
              <w:t>Article 2.07</w:t>
            </w:r>
          </w:p>
        </w:tc>
        <w:tc>
          <w:tcPr>
            <w:tcW w:w="3511" w:type="dxa"/>
            <w:tcBorders>
              <w:top w:val="nil"/>
              <w:left w:val="nil"/>
              <w:bottom w:val="nil"/>
              <w:right w:val="nil"/>
            </w:tcBorders>
            <w:vAlign w:val="bottom"/>
          </w:tcPr>
          <w:p w:rsidR="00FF19CF" w:rsidRDefault="00E361F2">
            <w:pPr>
              <w:spacing w:after="0" w:line="259" w:lineRule="auto"/>
              <w:ind w:left="2" w:firstLine="0"/>
              <w:jc w:val="both"/>
            </w:pPr>
            <w:r>
              <w:t>Correcteurs, Dopes ou Activants</w:t>
            </w:r>
          </w:p>
        </w:tc>
      </w:tr>
    </w:tbl>
    <w:p w:rsidR="00FF19CF" w:rsidRDefault="00E361F2">
      <w:pPr>
        <w:tabs>
          <w:tab w:val="center" w:pos="3182"/>
        </w:tabs>
        <w:spacing w:after="11"/>
        <w:ind w:left="-15" w:firstLine="0"/>
      </w:pPr>
      <w:r>
        <w:rPr>
          <w:b/>
          <w:u w:val="single" w:color="000000"/>
        </w:rPr>
        <w:t>CHAPITRE III</w:t>
      </w:r>
      <w:r>
        <w:rPr>
          <w:b/>
          <w:u w:val="single" w:color="000000"/>
        </w:rPr>
        <w:tab/>
        <w:t>MODE D'EXECUTION DES</w:t>
      </w:r>
    </w:p>
    <w:p w:rsidR="00FF19CF" w:rsidRDefault="00E361F2">
      <w:pPr>
        <w:pStyle w:val="Titre1"/>
        <w:spacing w:after="11"/>
        <w:ind w:left="-5"/>
      </w:pPr>
      <w:r>
        <w:t>ENDUITS</w:t>
      </w:r>
    </w:p>
    <w:tbl>
      <w:tblPr>
        <w:tblStyle w:val="TableGrid"/>
        <w:tblW w:w="4723" w:type="dxa"/>
        <w:tblInd w:w="0" w:type="dxa"/>
        <w:tblLook w:val="04A0" w:firstRow="1" w:lastRow="0" w:firstColumn="1" w:lastColumn="0" w:noHBand="0" w:noVBand="1"/>
      </w:tblPr>
      <w:tblGrid>
        <w:gridCol w:w="1402"/>
        <w:gridCol w:w="3321"/>
      </w:tblGrid>
      <w:tr w:rsidR="00FF19CF">
        <w:trPr>
          <w:trHeight w:val="441"/>
        </w:trPr>
        <w:tc>
          <w:tcPr>
            <w:tcW w:w="1402" w:type="dxa"/>
            <w:tcBorders>
              <w:top w:val="nil"/>
              <w:left w:val="nil"/>
              <w:bottom w:val="nil"/>
              <w:right w:val="nil"/>
            </w:tcBorders>
          </w:tcPr>
          <w:p w:rsidR="00FF19CF" w:rsidRDefault="00E361F2">
            <w:pPr>
              <w:spacing w:after="0" w:line="259" w:lineRule="auto"/>
              <w:ind w:left="0" w:firstLine="0"/>
            </w:pPr>
            <w:r>
              <w:t>Article 3.01</w:t>
            </w:r>
          </w:p>
        </w:tc>
        <w:tc>
          <w:tcPr>
            <w:tcW w:w="3321" w:type="dxa"/>
            <w:tcBorders>
              <w:top w:val="nil"/>
              <w:left w:val="nil"/>
              <w:bottom w:val="nil"/>
              <w:right w:val="nil"/>
            </w:tcBorders>
          </w:tcPr>
          <w:p w:rsidR="00FF19CF" w:rsidRDefault="00E361F2">
            <w:pPr>
              <w:spacing w:after="0" w:line="259" w:lineRule="auto"/>
              <w:ind w:left="2" w:firstLine="0"/>
            </w:pPr>
            <w:r>
              <w:t>Matériel</w:t>
            </w:r>
          </w:p>
        </w:tc>
      </w:tr>
      <w:tr w:rsidR="00FF19CF">
        <w:trPr>
          <w:trHeight w:val="556"/>
        </w:trPr>
        <w:tc>
          <w:tcPr>
            <w:tcW w:w="1402" w:type="dxa"/>
            <w:tcBorders>
              <w:top w:val="nil"/>
              <w:left w:val="nil"/>
              <w:bottom w:val="nil"/>
              <w:right w:val="nil"/>
            </w:tcBorders>
            <w:vAlign w:val="center"/>
          </w:tcPr>
          <w:p w:rsidR="00FF19CF" w:rsidRDefault="00E361F2">
            <w:pPr>
              <w:spacing w:after="0" w:line="259" w:lineRule="auto"/>
              <w:ind w:left="0" w:firstLine="0"/>
            </w:pPr>
            <w:r>
              <w:t>Article 3.02</w:t>
            </w:r>
          </w:p>
        </w:tc>
        <w:tc>
          <w:tcPr>
            <w:tcW w:w="3321" w:type="dxa"/>
            <w:tcBorders>
              <w:top w:val="nil"/>
              <w:left w:val="nil"/>
              <w:bottom w:val="nil"/>
              <w:right w:val="nil"/>
            </w:tcBorders>
            <w:vAlign w:val="center"/>
          </w:tcPr>
          <w:p w:rsidR="00FF19CF" w:rsidRDefault="00E361F2">
            <w:pPr>
              <w:spacing w:after="0" w:line="259" w:lineRule="auto"/>
              <w:ind w:left="0" w:firstLine="0"/>
            </w:pPr>
            <w:r>
              <w:t>Préparation du liant</w:t>
            </w:r>
          </w:p>
        </w:tc>
      </w:tr>
      <w:tr w:rsidR="00FF19CF">
        <w:trPr>
          <w:trHeight w:val="557"/>
        </w:trPr>
        <w:tc>
          <w:tcPr>
            <w:tcW w:w="1402" w:type="dxa"/>
            <w:tcBorders>
              <w:top w:val="nil"/>
              <w:left w:val="nil"/>
              <w:bottom w:val="nil"/>
              <w:right w:val="nil"/>
            </w:tcBorders>
            <w:vAlign w:val="center"/>
          </w:tcPr>
          <w:p w:rsidR="00FF19CF" w:rsidRDefault="00E361F2">
            <w:pPr>
              <w:spacing w:after="0" w:line="259" w:lineRule="auto"/>
              <w:ind w:left="0" w:firstLine="0"/>
            </w:pPr>
            <w:r>
              <w:t>Article 3.03</w:t>
            </w:r>
          </w:p>
        </w:tc>
        <w:tc>
          <w:tcPr>
            <w:tcW w:w="3321" w:type="dxa"/>
            <w:tcBorders>
              <w:top w:val="nil"/>
              <w:left w:val="nil"/>
              <w:bottom w:val="nil"/>
              <w:right w:val="nil"/>
            </w:tcBorders>
            <w:vAlign w:val="center"/>
          </w:tcPr>
          <w:p w:rsidR="00FF19CF" w:rsidRDefault="00E361F2">
            <w:pPr>
              <w:spacing w:after="0" w:line="259" w:lineRule="auto"/>
              <w:ind w:left="0" w:firstLine="0"/>
              <w:jc w:val="both"/>
            </w:pPr>
            <w:r>
              <w:t>Stockage et répandage du liant</w:t>
            </w:r>
          </w:p>
        </w:tc>
      </w:tr>
      <w:tr w:rsidR="00FF19CF">
        <w:trPr>
          <w:trHeight w:val="556"/>
        </w:trPr>
        <w:tc>
          <w:tcPr>
            <w:tcW w:w="1402" w:type="dxa"/>
            <w:tcBorders>
              <w:top w:val="nil"/>
              <w:left w:val="nil"/>
              <w:bottom w:val="nil"/>
              <w:right w:val="nil"/>
            </w:tcBorders>
            <w:vAlign w:val="center"/>
          </w:tcPr>
          <w:p w:rsidR="00FF19CF" w:rsidRDefault="00E361F2">
            <w:pPr>
              <w:spacing w:after="0" w:line="259" w:lineRule="auto"/>
              <w:ind w:left="0" w:firstLine="0"/>
            </w:pPr>
            <w:r>
              <w:t>Article 3.04</w:t>
            </w:r>
          </w:p>
        </w:tc>
        <w:tc>
          <w:tcPr>
            <w:tcW w:w="3321" w:type="dxa"/>
            <w:tcBorders>
              <w:top w:val="nil"/>
              <w:left w:val="nil"/>
              <w:bottom w:val="nil"/>
              <w:right w:val="nil"/>
            </w:tcBorders>
            <w:vAlign w:val="center"/>
          </w:tcPr>
          <w:p w:rsidR="00FF19CF" w:rsidRDefault="00E361F2">
            <w:pPr>
              <w:spacing w:after="0" w:line="259" w:lineRule="auto"/>
              <w:ind w:left="2" w:firstLine="0"/>
            </w:pPr>
            <w:r>
              <w:t>Répandage des granulats</w:t>
            </w:r>
          </w:p>
        </w:tc>
      </w:tr>
      <w:tr w:rsidR="00FF19CF">
        <w:trPr>
          <w:trHeight w:val="556"/>
        </w:trPr>
        <w:tc>
          <w:tcPr>
            <w:tcW w:w="1402" w:type="dxa"/>
            <w:tcBorders>
              <w:top w:val="nil"/>
              <w:left w:val="nil"/>
              <w:bottom w:val="nil"/>
              <w:right w:val="nil"/>
            </w:tcBorders>
            <w:vAlign w:val="center"/>
          </w:tcPr>
          <w:p w:rsidR="00FF19CF" w:rsidRDefault="00E361F2">
            <w:pPr>
              <w:spacing w:after="0" w:line="259" w:lineRule="auto"/>
              <w:ind w:left="0" w:firstLine="0"/>
            </w:pPr>
            <w:r>
              <w:t>Article 3.05</w:t>
            </w:r>
          </w:p>
        </w:tc>
        <w:tc>
          <w:tcPr>
            <w:tcW w:w="3321" w:type="dxa"/>
            <w:tcBorders>
              <w:top w:val="nil"/>
              <w:left w:val="nil"/>
              <w:bottom w:val="nil"/>
              <w:right w:val="nil"/>
            </w:tcBorders>
            <w:vAlign w:val="center"/>
          </w:tcPr>
          <w:p w:rsidR="00FF19CF" w:rsidRDefault="00E361F2">
            <w:pPr>
              <w:spacing w:after="0" w:line="259" w:lineRule="auto"/>
              <w:ind w:left="2" w:firstLine="0"/>
            </w:pPr>
            <w:r>
              <w:t>Compactage</w:t>
            </w:r>
          </w:p>
        </w:tc>
      </w:tr>
      <w:tr w:rsidR="00FF19CF">
        <w:trPr>
          <w:trHeight w:val="442"/>
        </w:trPr>
        <w:tc>
          <w:tcPr>
            <w:tcW w:w="1402" w:type="dxa"/>
            <w:tcBorders>
              <w:top w:val="nil"/>
              <w:left w:val="nil"/>
              <w:bottom w:val="nil"/>
              <w:right w:val="nil"/>
            </w:tcBorders>
            <w:vAlign w:val="bottom"/>
          </w:tcPr>
          <w:p w:rsidR="00FF19CF" w:rsidRDefault="00E361F2">
            <w:pPr>
              <w:spacing w:after="0" w:line="259" w:lineRule="auto"/>
              <w:ind w:left="0" w:firstLine="0"/>
            </w:pPr>
            <w:r>
              <w:t>Article 3.06</w:t>
            </w:r>
          </w:p>
        </w:tc>
        <w:tc>
          <w:tcPr>
            <w:tcW w:w="3321" w:type="dxa"/>
            <w:tcBorders>
              <w:top w:val="nil"/>
              <w:left w:val="nil"/>
              <w:bottom w:val="nil"/>
              <w:right w:val="nil"/>
            </w:tcBorders>
            <w:vAlign w:val="bottom"/>
          </w:tcPr>
          <w:p w:rsidR="00FF19CF" w:rsidRDefault="00E361F2">
            <w:pPr>
              <w:spacing w:after="0" w:line="259" w:lineRule="auto"/>
              <w:ind w:left="2" w:firstLine="0"/>
            </w:pPr>
            <w:r>
              <w:t>Contrôles d'exécution</w:t>
            </w:r>
          </w:p>
        </w:tc>
      </w:tr>
    </w:tbl>
    <w:p w:rsidR="00FF19CF" w:rsidRDefault="00E361F2">
      <w:pPr>
        <w:pStyle w:val="Titre1"/>
        <w:ind w:left="-5" w:right="2616"/>
      </w:pPr>
      <w:r>
        <w:t>CHAPITRE IV</w:t>
      </w:r>
      <w:r w:rsidR="00A908B6">
        <w:t xml:space="preserve"> </w:t>
      </w:r>
      <w:r>
        <w:t>MODE D'EXECUTION DES ENROBES</w:t>
      </w:r>
    </w:p>
    <w:p w:rsidR="00FF19CF" w:rsidRDefault="00E361F2">
      <w:pPr>
        <w:tabs>
          <w:tab w:val="center" w:pos="2691"/>
        </w:tabs>
        <w:ind w:left="-15" w:firstLine="0"/>
      </w:pPr>
      <w:r>
        <w:t>Article 4.01</w:t>
      </w:r>
      <w:r>
        <w:tab/>
        <w:t>Fabrication des enrobés</w:t>
      </w:r>
    </w:p>
    <w:p w:rsidR="00FF19CF" w:rsidRDefault="00E361F2">
      <w:pPr>
        <w:tabs>
          <w:tab w:val="center" w:pos="2916"/>
        </w:tabs>
        <w:ind w:left="-15" w:firstLine="0"/>
      </w:pPr>
      <w:r>
        <w:t>Article 4.02</w:t>
      </w:r>
      <w:r>
        <w:tab/>
        <w:t xml:space="preserve">Mise en </w:t>
      </w:r>
      <w:r w:rsidR="00BE2517">
        <w:t>œuvre</w:t>
      </w:r>
      <w:r>
        <w:t xml:space="preserve"> des enrobés</w:t>
      </w:r>
    </w:p>
    <w:p w:rsidR="005D1A65" w:rsidRDefault="00E361F2" w:rsidP="005D1A65">
      <w:pPr>
        <w:tabs>
          <w:tab w:val="center" w:pos="2082"/>
        </w:tabs>
        <w:ind w:left="-15" w:firstLine="0"/>
      </w:pPr>
      <w:r>
        <w:t>Article 4.03</w:t>
      </w:r>
      <w:r>
        <w:tab/>
        <w:t>Compactage</w:t>
      </w:r>
    </w:p>
    <w:p w:rsidR="005D1A65" w:rsidRDefault="00E361F2" w:rsidP="005D1A65">
      <w:pPr>
        <w:tabs>
          <w:tab w:val="center" w:pos="2082"/>
        </w:tabs>
        <w:ind w:left="-15" w:firstLine="0"/>
      </w:pPr>
      <w:r>
        <w:t>CHAPITRE V SIGNALISATION DES CHANTIERS</w:t>
      </w:r>
    </w:p>
    <w:p w:rsidR="005D1A65" w:rsidRDefault="005D1A65">
      <w:pPr>
        <w:pStyle w:val="Titre1"/>
        <w:spacing w:after="259"/>
        <w:ind w:left="-5"/>
      </w:pPr>
    </w:p>
    <w:p w:rsidR="00FF19CF" w:rsidRDefault="00E361F2">
      <w:pPr>
        <w:pStyle w:val="Titre1"/>
        <w:spacing w:after="259"/>
        <w:ind w:left="-5"/>
      </w:pPr>
      <w:r>
        <w:t xml:space="preserve"> </w:t>
      </w:r>
      <w:r>
        <w:rPr>
          <w:b w:val="0"/>
          <w:u w:val="none"/>
        </w:rPr>
        <w:t xml:space="preserve">CHAPITRE I </w:t>
      </w:r>
      <w:r>
        <w:t>DESCRIPTIONS DES OUVRAGES</w:t>
      </w:r>
    </w:p>
    <w:p w:rsidR="00FF19CF" w:rsidRDefault="00E361F2">
      <w:pPr>
        <w:tabs>
          <w:tab w:val="center" w:pos="2754"/>
        </w:tabs>
        <w:ind w:left="-15" w:firstLine="0"/>
      </w:pPr>
      <w:r>
        <w:rPr>
          <w:b/>
          <w:u w:val="single" w:color="000000"/>
        </w:rPr>
        <w:t>Article 1.01</w:t>
      </w:r>
      <w:r>
        <w:rPr>
          <w:b/>
          <w:u w:val="single" w:color="000000"/>
        </w:rPr>
        <w:tab/>
        <w:t>OBJET DU C. C. T. P. :</w:t>
      </w:r>
    </w:p>
    <w:p w:rsidR="00FF19CF" w:rsidRDefault="00E361F2">
      <w:pPr>
        <w:ind w:left="-5" w:right="4"/>
      </w:pPr>
      <w:r>
        <w:t>Le présent Cahier des Clauses Techniques Particulières définit les spécifications des matériaux, produits et conditions d'exécution des travaux de modernisation de la voirie communale, programme 2018 sur la commune de L</w:t>
      </w:r>
      <w:r w:rsidR="005D1A65">
        <w:t>angolen</w:t>
      </w:r>
      <w:r>
        <w:t>.</w:t>
      </w:r>
    </w:p>
    <w:p w:rsidR="00FF19CF" w:rsidRDefault="00E361F2">
      <w:pPr>
        <w:tabs>
          <w:tab w:val="center" w:pos="3320"/>
        </w:tabs>
        <w:ind w:left="-15" w:firstLine="0"/>
      </w:pPr>
      <w:r>
        <w:rPr>
          <w:b/>
          <w:u w:val="single" w:color="000000"/>
        </w:rPr>
        <w:t>Article 1.02</w:t>
      </w:r>
      <w:r>
        <w:rPr>
          <w:b/>
          <w:u w:val="single" w:color="000000"/>
        </w:rPr>
        <w:tab/>
        <w:t>CONSISTANCE DES TRAVAUX :</w:t>
      </w:r>
    </w:p>
    <w:p w:rsidR="00FF19CF" w:rsidRDefault="00E361F2">
      <w:pPr>
        <w:ind w:left="-5" w:right="4"/>
      </w:pPr>
      <w:r>
        <w:t>L'entreprise comprend toutes les fournitures et les mises en œuvre nécessaires à la complète réalisation des travaux, objet du présent C. C. T. P.</w:t>
      </w:r>
    </w:p>
    <w:p w:rsidR="00FF19CF" w:rsidRDefault="00E361F2">
      <w:pPr>
        <w:spacing w:after="258" w:line="259" w:lineRule="auto"/>
        <w:ind w:left="16" w:right="2"/>
        <w:jc w:val="center"/>
      </w:pPr>
      <w:r>
        <w:t>CHAPITRE II</w:t>
      </w:r>
    </w:p>
    <w:p w:rsidR="00A908B6" w:rsidRDefault="00E361F2">
      <w:pPr>
        <w:pStyle w:val="Titre1"/>
        <w:ind w:left="14" w:right="10"/>
        <w:jc w:val="center"/>
      </w:pPr>
      <w:r>
        <w:t>SPECIFICATIONS DES MATERIAUX, PRODUITS ET ELEMENTS</w:t>
      </w:r>
    </w:p>
    <w:p w:rsidR="00FF19CF" w:rsidRDefault="00E361F2">
      <w:pPr>
        <w:pStyle w:val="Titre1"/>
        <w:ind w:left="14" w:right="10"/>
        <w:jc w:val="center"/>
      </w:pPr>
      <w:r>
        <w:t xml:space="preserve"> ARTICLE 2.01</w:t>
      </w:r>
      <w:r>
        <w:tab/>
        <w:t>PROVENANCE DES MATERIAUX</w:t>
      </w:r>
    </w:p>
    <w:p w:rsidR="00FF19CF" w:rsidRDefault="00E361F2">
      <w:pPr>
        <w:ind w:left="-5" w:right="4"/>
      </w:pPr>
      <w:r>
        <w:t>L'entreprise indiquera la ou les provenances des constituants.</w:t>
      </w:r>
    </w:p>
    <w:p w:rsidR="00FF19CF" w:rsidRDefault="00E361F2">
      <w:pPr>
        <w:ind w:left="-5" w:right="4"/>
      </w:pPr>
      <w:r>
        <w:t>Pour chaque classe granulaire, la même et unique provenance doit être conservée pour l'exécution de la totalité d'un même produit.</w:t>
      </w:r>
    </w:p>
    <w:p w:rsidR="00FF19CF" w:rsidRDefault="00E361F2">
      <w:pPr>
        <w:ind w:left="-5" w:right="4"/>
      </w:pPr>
      <w:r>
        <w:t>Toutefois, des granulats de plusieurs provenances peuvent être acceptés par le Maître d’œuvre si des études et essais préalables ont été effectués sur les granulats de chaque provenance et que l'Entrepreneur les a soumis à l'accord du Maître d’œuvre. Les granulats d'une même classe granulaire mais de provenances différentes sont alors stockés séparément.</w:t>
      </w:r>
    </w:p>
    <w:p w:rsidR="00FF19CF" w:rsidRDefault="00E361F2">
      <w:pPr>
        <w:pStyle w:val="Titre1"/>
        <w:tabs>
          <w:tab w:val="center" w:pos="2207"/>
        </w:tabs>
        <w:ind w:left="-15" w:firstLine="0"/>
      </w:pPr>
      <w:r>
        <w:t>ARTICLE 2.02</w:t>
      </w:r>
      <w:r>
        <w:tab/>
        <w:t>LIANTS</w:t>
      </w:r>
    </w:p>
    <w:p w:rsidR="00FF19CF" w:rsidRDefault="00E361F2">
      <w:pPr>
        <w:ind w:left="-5" w:right="4"/>
      </w:pPr>
      <w:r>
        <w:rPr>
          <w:b/>
        </w:rPr>
        <w:t>2.02.1</w:t>
      </w:r>
      <w:r>
        <w:rPr>
          <w:b/>
        </w:rPr>
        <w:tab/>
        <w:t xml:space="preserve">Le liant pour enduit sera un bitume fluxé aux </w:t>
      </w:r>
      <w:r>
        <w:t>huiles de goudron, de viscosité 1600</w:t>
      </w:r>
      <w:r>
        <w:tab/>
        <w:t>2400, réalisé à partir d'un bitume 80/100.</w:t>
      </w:r>
    </w:p>
    <w:p w:rsidR="00FF19CF" w:rsidRDefault="00E361F2">
      <w:pPr>
        <w:ind w:left="-5"/>
      </w:pPr>
      <w:r>
        <w:rPr>
          <w:b/>
        </w:rPr>
        <w:t>2.02.2</w:t>
      </w:r>
      <w:r>
        <w:rPr>
          <w:b/>
        </w:rPr>
        <w:tab/>
        <w:t xml:space="preserve">Le bitume pour enrobés sera du 80/100 ou 60/70 tel </w:t>
      </w:r>
      <w:r>
        <w:t>que défini à l'annexe II du fascicule 24 du C.C.T.G.</w:t>
      </w:r>
    </w:p>
    <w:p w:rsidR="00FF19CF" w:rsidRDefault="00E361F2">
      <w:pPr>
        <w:pStyle w:val="Titre1"/>
        <w:tabs>
          <w:tab w:val="center" w:pos="2527"/>
        </w:tabs>
        <w:ind w:left="-15" w:firstLine="0"/>
      </w:pPr>
      <w:r>
        <w:t>ARTICLE 2.03</w:t>
      </w:r>
      <w:r>
        <w:tab/>
        <w:t>GRANULATS</w:t>
      </w:r>
    </w:p>
    <w:p w:rsidR="00FF19CF" w:rsidRDefault="00E361F2">
      <w:pPr>
        <w:pStyle w:val="Titre2"/>
        <w:tabs>
          <w:tab w:val="center" w:pos="3021"/>
        </w:tabs>
        <w:ind w:left="-15" w:firstLine="0"/>
      </w:pPr>
      <w:r>
        <w:t>2.03.1</w:t>
      </w:r>
      <w:r>
        <w:tab/>
        <w:t>Caractéristiques de base normalisées</w:t>
      </w:r>
    </w:p>
    <w:p w:rsidR="00FF19CF" w:rsidRDefault="00E361F2">
      <w:pPr>
        <w:ind w:left="-5" w:right="4"/>
      </w:pPr>
      <w:r>
        <w:t>Les granulats sont impérativement issus de roche massive. Les catégories de granulats et les classes d'enduits sont respectivement définis par les normes XP P18 545 et 98 160.</w:t>
      </w:r>
    </w:p>
    <w:p w:rsidR="00FF19CF" w:rsidRDefault="00E361F2">
      <w:pPr>
        <w:ind w:left="-5"/>
      </w:pPr>
      <w:r>
        <w:rPr>
          <w:b/>
        </w:rPr>
        <w:lastRenderedPageBreak/>
        <w:t>Les granulats pour GNT seront de la catégorie C 3 b.</w:t>
      </w:r>
    </w:p>
    <w:p w:rsidR="00FF19CF" w:rsidRDefault="00E361F2">
      <w:pPr>
        <w:ind w:left="-5" w:right="4"/>
      </w:pPr>
      <w:r>
        <w:rPr>
          <w:b/>
        </w:rPr>
        <w:t xml:space="preserve">Les granulats pour enduits seront de la catégorie B2 </w:t>
      </w:r>
      <w:r>
        <w:t>pour un trafic T2 ou T3 nécessitant un enduit de la classe ESV2.</w:t>
      </w:r>
    </w:p>
    <w:p w:rsidR="00FF19CF" w:rsidRDefault="00E361F2">
      <w:pPr>
        <w:ind w:left="-5"/>
      </w:pPr>
      <w:r>
        <w:rPr>
          <w:b/>
        </w:rPr>
        <w:t>Les granulats pour enrobés seront de la catégorie C 3 a</w:t>
      </w:r>
      <w:r>
        <w:t>.</w:t>
      </w:r>
    </w:p>
    <w:p w:rsidR="00FF19CF" w:rsidRDefault="00E361F2">
      <w:pPr>
        <w:pStyle w:val="Titre2"/>
        <w:tabs>
          <w:tab w:val="center" w:pos="2215"/>
        </w:tabs>
        <w:ind w:left="-15" w:firstLine="0"/>
      </w:pPr>
      <w:r>
        <w:t>2.03.2</w:t>
      </w:r>
      <w:r>
        <w:tab/>
        <w:t>Stockage des granulats</w:t>
      </w:r>
    </w:p>
    <w:p w:rsidR="00FF19CF" w:rsidRDefault="00E361F2">
      <w:pPr>
        <w:ind w:left="-5" w:right="4"/>
      </w:pPr>
      <w:r>
        <w:t>L'entreprise indique la situation géographique, les caractéristiques géométriques des aires, l'emplacement des centrales.</w:t>
      </w:r>
    </w:p>
    <w:p w:rsidR="00FF19CF" w:rsidRDefault="00E361F2">
      <w:pPr>
        <w:ind w:left="-5" w:right="4"/>
      </w:pPr>
      <w:r>
        <w:t>L'entrepreneur doit conduire les travaux de mise en dépôt par classes granulaires dans les conditions suivantes:</w:t>
      </w:r>
    </w:p>
    <w:p w:rsidR="00FF19CF" w:rsidRDefault="00E361F2">
      <w:pPr>
        <w:numPr>
          <w:ilvl w:val="0"/>
          <w:numId w:val="1"/>
        </w:numPr>
        <w:ind w:right="4" w:hanging="146"/>
      </w:pPr>
      <w:r>
        <w:t>La hauteur maximale des tas pour chaque classe granulaire mise en stock doit être de 6 mètres.</w:t>
      </w:r>
    </w:p>
    <w:p w:rsidR="00FF19CF" w:rsidRDefault="00E361F2">
      <w:pPr>
        <w:numPr>
          <w:ilvl w:val="0"/>
          <w:numId w:val="1"/>
        </w:numPr>
        <w:ind w:right="4" w:hanging="146"/>
      </w:pPr>
      <w:r>
        <w:t>La distance minimale entre les pieds des tas doit être de 3 mètres.</w:t>
      </w:r>
    </w:p>
    <w:p w:rsidR="00FF19CF" w:rsidRDefault="00E361F2">
      <w:pPr>
        <w:numPr>
          <w:ilvl w:val="0"/>
          <w:numId w:val="1"/>
        </w:numPr>
        <w:ind w:right="4" w:hanging="146"/>
      </w:pPr>
      <w:r>
        <w:t>Le stockage doit être réalisé en couches horizontales stratifiées.</w:t>
      </w:r>
    </w:p>
    <w:p w:rsidR="00FF19CF" w:rsidRDefault="00E361F2">
      <w:pPr>
        <w:pStyle w:val="Titre2"/>
        <w:ind w:left="-5"/>
      </w:pPr>
      <w:r>
        <w:rPr>
          <w:rFonts w:ascii="Times New Roman" w:eastAsia="Times New Roman" w:hAnsi="Times New Roman" w:cs="Times New Roman"/>
        </w:rPr>
        <w:t xml:space="preserve">3. </w:t>
      </w:r>
      <w:r>
        <w:t>Quantité des granulats</w:t>
      </w:r>
    </w:p>
    <w:p w:rsidR="00FF19CF" w:rsidRDefault="00E361F2">
      <w:pPr>
        <w:ind w:left="-5" w:right="4"/>
      </w:pPr>
      <w:r>
        <w:t>La quantité de matériaux prise en compte pour rémunérer l’entrepreneur sera celle figurant sur les tickets de pesée, si la Masse Volumique Réelle (MVR) des matériaux est inférieure ou égale à 2,7.</w:t>
      </w:r>
    </w:p>
    <w:p w:rsidR="00FF19CF" w:rsidRDefault="00E361F2">
      <w:pPr>
        <w:ind w:left="-5" w:right="4"/>
      </w:pPr>
      <w:r>
        <w:t>Dans le cas contraire, une réfaction correspondante du tonnage de matériaux sera appliquée selon la formule suivante :</w:t>
      </w:r>
    </w:p>
    <w:p w:rsidR="00FF19CF" w:rsidRDefault="00E361F2">
      <w:pPr>
        <w:spacing w:after="259" w:line="259" w:lineRule="auto"/>
        <w:ind w:left="0" w:firstLine="0"/>
      </w:pPr>
      <w:r>
        <w:t>Tonnage pris en compte</w:t>
      </w:r>
      <w:r>
        <w:rPr>
          <w:u w:val="single" w:color="000000"/>
        </w:rPr>
        <w:t>= 2,7 x somme des tickets de pesée</w:t>
      </w:r>
    </w:p>
    <w:p w:rsidR="00FF19CF" w:rsidRDefault="00E361F2">
      <w:pPr>
        <w:ind w:left="-5" w:right="4"/>
      </w:pPr>
      <w:r>
        <w:t>MVR (réelle)</w:t>
      </w:r>
    </w:p>
    <w:p w:rsidR="00FF19CF" w:rsidRDefault="00E361F2">
      <w:pPr>
        <w:ind w:left="-5" w:right="4"/>
      </w:pPr>
      <w:r>
        <w:t>Les contrôles seront effectués par le Laboratoire Régional des Ponts et chaussées de SAINT-BRIEUC</w:t>
      </w:r>
    </w:p>
    <w:p w:rsidR="00FF19CF" w:rsidRDefault="00E361F2">
      <w:pPr>
        <w:pStyle w:val="Titre1"/>
        <w:tabs>
          <w:tab w:val="center" w:pos="2660"/>
        </w:tabs>
        <w:ind w:left="-15" w:firstLine="0"/>
      </w:pPr>
      <w:r>
        <w:t>ARTICLE 2.04</w:t>
      </w:r>
      <w:r>
        <w:tab/>
        <w:t>FORMULATION</w:t>
      </w:r>
    </w:p>
    <w:p w:rsidR="00FF19CF" w:rsidRDefault="00E361F2">
      <w:pPr>
        <w:ind w:left="-5" w:right="4"/>
      </w:pPr>
      <w:r>
        <w:t>Les enduits seront conforme à la norme NF P 98-160 ; XP P 98-277.1 et XP P 18-545. A titre indicatif les formulations pourront être les suivantes:</w:t>
      </w:r>
    </w:p>
    <w:p w:rsidR="00FB3651" w:rsidRDefault="00FB3651">
      <w:pPr>
        <w:ind w:left="-5" w:right="4"/>
      </w:pPr>
    </w:p>
    <w:p w:rsidR="00FB3651" w:rsidRDefault="00FB3651">
      <w:pPr>
        <w:ind w:left="-5" w:right="4"/>
      </w:pPr>
    </w:p>
    <w:p w:rsidR="00FF19CF" w:rsidRDefault="00E361F2">
      <w:pPr>
        <w:pStyle w:val="Titre2"/>
        <w:tabs>
          <w:tab w:val="center" w:pos="3008"/>
        </w:tabs>
        <w:spacing w:after="10"/>
        <w:ind w:left="-15" w:firstLine="0"/>
      </w:pPr>
      <w:r>
        <w:lastRenderedPageBreak/>
        <w:t>2.04.1</w:t>
      </w:r>
      <w:r>
        <w:tab/>
        <w:t>Formule de</w:t>
      </w:r>
      <w:r>
        <w:rPr>
          <w:u w:val="single" w:color="000000"/>
        </w:rPr>
        <w:t xml:space="preserve"> base de l'enduit bic</w:t>
      </w:r>
      <w:r>
        <w:t>ouche</w:t>
      </w:r>
    </w:p>
    <w:tbl>
      <w:tblPr>
        <w:tblStyle w:val="TableGrid"/>
        <w:tblW w:w="6725" w:type="dxa"/>
        <w:tblInd w:w="-72" w:type="dxa"/>
        <w:tblCellMar>
          <w:top w:w="167" w:type="dxa"/>
          <w:left w:w="67" w:type="dxa"/>
          <w:right w:w="115" w:type="dxa"/>
        </w:tblCellMar>
        <w:tblLook w:val="04A0" w:firstRow="1" w:lastRow="0" w:firstColumn="1" w:lastColumn="0" w:noHBand="0" w:noVBand="1"/>
      </w:tblPr>
      <w:tblGrid>
        <w:gridCol w:w="2210"/>
        <w:gridCol w:w="2291"/>
        <w:gridCol w:w="2224"/>
      </w:tblGrid>
      <w:tr w:rsidR="00FF19CF">
        <w:trPr>
          <w:trHeight w:val="664"/>
        </w:trPr>
        <w:tc>
          <w:tcPr>
            <w:tcW w:w="2210" w:type="dxa"/>
            <w:tcBorders>
              <w:top w:val="double" w:sz="5" w:space="0" w:color="000000"/>
              <w:left w:val="single" w:sz="8" w:space="0" w:color="000000"/>
              <w:bottom w:val="double" w:sz="5" w:space="0" w:color="000000"/>
              <w:right w:val="double" w:sz="5" w:space="0" w:color="000000"/>
            </w:tcBorders>
          </w:tcPr>
          <w:p w:rsidR="00FF19CF" w:rsidRDefault="00FF19CF">
            <w:pPr>
              <w:spacing w:after="160" w:line="259" w:lineRule="auto"/>
              <w:ind w:left="0" w:firstLine="0"/>
            </w:pPr>
          </w:p>
        </w:tc>
        <w:tc>
          <w:tcPr>
            <w:tcW w:w="2291" w:type="dxa"/>
            <w:tcBorders>
              <w:top w:val="single" w:sz="5" w:space="0" w:color="000000"/>
              <w:left w:val="double" w:sz="5" w:space="0" w:color="000000"/>
              <w:bottom w:val="double" w:sz="5" w:space="0" w:color="000000"/>
              <w:right w:val="double" w:sz="5" w:space="0" w:color="000000"/>
            </w:tcBorders>
            <w:vAlign w:val="center"/>
          </w:tcPr>
          <w:p w:rsidR="00FF19CF" w:rsidRDefault="00E361F2">
            <w:pPr>
              <w:spacing w:after="0" w:line="259" w:lineRule="auto"/>
              <w:ind w:left="55" w:firstLine="0"/>
            </w:pPr>
            <w:r>
              <w:t>GRANULATS</w:t>
            </w:r>
          </w:p>
        </w:tc>
        <w:tc>
          <w:tcPr>
            <w:tcW w:w="2224" w:type="dxa"/>
            <w:tcBorders>
              <w:top w:val="double" w:sz="5" w:space="0" w:color="000000"/>
              <w:left w:val="double" w:sz="5" w:space="0" w:color="000000"/>
              <w:bottom w:val="double" w:sz="5" w:space="0" w:color="000000"/>
              <w:right w:val="single" w:sz="8" w:space="0" w:color="000000"/>
            </w:tcBorders>
            <w:vAlign w:val="center"/>
          </w:tcPr>
          <w:p w:rsidR="00FF19CF" w:rsidRDefault="00E361F2">
            <w:pPr>
              <w:spacing w:after="0" w:line="259" w:lineRule="auto"/>
              <w:ind w:left="419" w:firstLine="0"/>
            </w:pPr>
            <w:r>
              <w:t>LIANT</w:t>
            </w:r>
          </w:p>
        </w:tc>
      </w:tr>
      <w:tr w:rsidR="00FF19CF">
        <w:trPr>
          <w:trHeight w:val="941"/>
        </w:trPr>
        <w:tc>
          <w:tcPr>
            <w:tcW w:w="2210"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0" w:firstLine="0"/>
            </w:pPr>
            <w:r>
              <w:t>1ère couche</w:t>
            </w:r>
          </w:p>
        </w:tc>
        <w:tc>
          <w:tcPr>
            <w:tcW w:w="2291" w:type="dxa"/>
            <w:tcBorders>
              <w:top w:val="double" w:sz="5" w:space="0" w:color="000000"/>
              <w:left w:val="double" w:sz="5" w:space="0" w:color="000000"/>
              <w:bottom w:val="double" w:sz="5" w:space="0" w:color="000000"/>
              <w:right w:val="double" w:sz="5" w:space="0" w:color="000000"/>
            </w:tcBorders>
            <w:vAlign w:val="center"/>
          </w:tcPr>
          <w:p w:rsidR="00FF19CF" w:rsidRDefault="00E361F2">
            <w:pPr>
              <w:spacing w:after="0" w:line="259" w:lineRule="auto"/>
              <w:ind w:left="387" w:right="425" w:hanging="226"/>
            </w:pPr>
            <w:r>
              <w:t>9 l de 10/14 ou 6/10</w:t>
            </w:r>
          </w:p>
        </w:tc>
        <w:tc>
          <w:tcPr>
            <w:tcW w:w="2224"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330" w:firstLine="0"/>
            </w:pPr>
            <w:r>
              <w:t>1.300kg</w:t>
            </w:r>
          </w:p>
        </w:tc>
      </w:tr>
      <w:tr w:rsidR="00FF19CF">
        <w:trPr>
          <w:trHeight w:val="664"/>
        </w:trPr>
        <w:tc>
          <w:tcPr>
            <w:tcW w:w="2210" w:type="dxa"/>
            <w:tcBorders>
              <w:top w:val="double" w:sz="5" w:space="0" w:color="000000"/>
              <w:left w:val="single" w:sz="8" w:space="0" w:color="000000"/>
              <w:bottom w:val="double" w:sz="5" w:space="0" w:color="000000"/>
              <w:right w:val="double" w:sz="5" w:space="0" w:color="000000"/>
            </w:tcBorders>
            <w:vAlign w:val="center"/>
          </w:tcPr>
          <w:p w:rsidR="00FF19CF" w:rsidRDefault="00E361F2">
            <w:pPr>
              <w:spacing w:after="0" w:line="259" w:lineRule="auto"/>
              <w:ind w:left="0" w:firstLine="0"/>
            </w:pPr>
            <w:r>
              <w:t>2ème couche</w:t>
            </w:r>
          </w:p>
        </w:tc>
        <w:tc>
          <w:tcPr>
            <w:tcW w:w="2291" w:type="dxa"/>
            <w:tcBorders>
              <w:top w:val="double" w:sz="5" w:space="0" w:color="000000"/>
              <w:left w:val="double" w:sz="5" w:space="0" w:color="000000"/>
              <w:bottom w:val="double" w:sz="5" w:space="0" w:color="000000"/>
              <w:right w:val="double" w:sz="5" w:space="0" w:color="000000"/>
            </w:tcBorders>
            <w:vAlign w:val="center"/>
          </w:tcPr>
          <w:p w:rsidR="00FF19CF" w:rsidRDefault="00E361F2">
            <w:pPr>
              <w:spacing w:after="0" w:line="259" w:lineRule="auto"/>
              <w:ind w:left="295" w:firstLine="0"/>
            </w:pPr>
            <w:r>
              <w:t>7 l de 4/6</w:t>
            </w:r>
          </w:p>
        </w:tc>
        <w:tc>
          <w:tcPr>
            <w:tcW w:w="2224" w:type="dxa"/>
            <w:tcBorders>
              <w:top w:val="double" w:sz="5" w:space="0" w:color="000000"/>
              <w:left w:val="double" w:sz="5" w:space="0" w:color="000000"/>
              <w:bottom w:val="double" w:sz="5" w:space="0" w:color="000000"/>
              <w:right w:val="single" w:sz="8" w:space="0" w:color="000000"/>
            </w:tcBorders>
            <w:vAlign w:val="center"/>
          </w:tcPr>
          <w:p w:rsidR="00FF19CF" w:rsidRDefault="00E361F2">
            <w:pPr>
              <w:spacing w:after="0" w:line="259" w:lineRule="auto"/>
              <w:ind w:left="330" w:firstLine="0"/>
            </w:pPr>
            <w:r>
              <w:t>1.000kg</w:t>
            </w:r>
          </w:p>
        </w:tc>
      </w:tr>
    </w:tbl>
    <w:p w:rsidR="00FF19CF" w:rsidRDefault="00E361F2">
      <w:pPr>
        <w:tabs>
          <w:tab w:val="center" w:pos="4362"/>
        </w:tabs>
        <w:spacing w:after="10"/>
        <w:ind w:left="-15" w:firstLine="0"/>
      </w:pPr>
      <w:r>
        <w:rPr>
          <w:b/>
        </w:rPr>
        <w:t>2.04.2</w:t>
      </w:r>
      <w:r>
        <w:rPr>
          <w:b/>
        </w:rPr>
        <w:tab/>
        <w:t xml:space="preserve">Les constituants pour enrobés auront la granularité </w:t>
      </w:r>
      <w:r>
        <w:t>suivante :</w:t>
      </w:r>
    </w:p>
    <w:tbl>
      <w:tblPr>
        <w:tblStyle w:val="TableGrid"/>
        <w:tblW w:w="4097" w:type="dxa"/>
        <w:tblInd w:w="-72" w:type="dxa"/>
        <w:tblCellMar>
          <w:top w:w="47" w:type="dxa"/>
          <w:left w:w="67" w:type="dxa"/>
          <w:right w:w="115" w:type="dxa"/>
        </w:tblCellMar>
        <w:tblLook w:val="04A0" w:firstRow="1" w:lastRow="0" w:firstColumn="1" w:lastColumn="0" w:noHBand="0" w:noVBand="1"/>
      </w:tblPr>
      <w:tblGrid>
        <w:gridCol w:w="2541"/>
        <w:gridCol w:w="1556"/>
      </w:tblGrid>
      <w:tr w:rsidR="00FF19CF">
        <w:trPr>
          <w:trHeight w:val="940"/>
        </w:trPr>
        <w:tc>
          <w:tcPr>
            <w:tcW w:w="2540"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0" w:firstLine="0"/>
            </w:pPr>
            <w:r>
              <w:t>Dimension/maille</w:t>
            </w:r>
          </w:p>
        </w:tc>
        <w:tc>
          <w:tcPr>
            <w:tcW w:w="1556" w:type="dxa"/>
            <w:tcBorders>
              <w:top w:val="double" w:sz="5" w:space="0" w:color="000000"/>
              <w:left w:val="double" w:sz="5" w:space="0" w:color="000000"/>
              <w:bottom w:val="double" w:sz="5" w:space="0" w:color="000000"/>
              <w:right w:val="single" w:sz="8" w:space="0" w:color="000000"/>
            </w:tcBorders>
            <w:vAlign w:val="center"/>
          </w:tcPr>
          <w:p w:rsidR="00FF19CF" w:rsidRDefault="00E361F2">
            <w:pPr>
              <w:spacing w:after="0" w:line="259" w:lineRule="auto"/>
              <w:ind w:left="4" w:firstLine="146"/>
            </w:pPr>
            <w:r>
              <w:t>% de passant</w:t>
            </w:r>
          </w:p>
        </w:tc>
      </w:tr>
      <w:tr w:rsidR="00FF19CF">
        <w:trPr>
          <w:trHeight w:val="665"/>
        </w:trPr>
        <w:tc>
          <w:tcPr>
            <w:tcW w:w="2540" w:type="dxa"/>
            <w:tcBorders>
              <w:top w:val="double" w:sz="5" w:space="0" w:color="000000"/>
              <w:left w:val="single" w:sz="8" w:space="0" w:color="000000"/>
              <w:bottom w:val="double" w:sz="5" w:space="0" w:color="000000"/>
              <w:right w:val="double" w:sz="5" w:space="0" w:color="000000"/>
            </w:tcBorders>
            <w:vAlign w:val="center"/>
          </w:tcPr>
          <w:p w:rsidR="00FF19CF" w:rsidRDefault="00E361F2">
            <w:pPr>
              <w:spacing w:after="0" w:line="259" w:lineRule="auto"/>
              <w:ind w:left="780" w:firstLine="0"/>
            </w:pPr>
            <w:r>
              <w:t>10</w:t>
            </w:r>
          </w:p>
        </w:tc>
        <w:tc>
          <w:tcPr>
            <w:tcW w:w="1556" w:type="dxa"/>
            <w:tcBorders>
              <w:top w:val="double" w:sz="5" w:space="0" w:color="000000"/>
              <w:left w:val="double" w:sz="5" w:space="0" w:color="000000"/>
              <w:bottom w:val="double" w:sz="5" w:space="0" w:color="000000"/>
              <w:right w:val="single" w:sz="8" w:space="0" w:color="000000"/>
            </w:tcBorders>
            <w:vAlign w:val="center"/>
          </w:tcPr>
          <w:p w:rsidR="00FF19CF" w:rsidRDefault="00E361F2">
            <w:pPr>
              <w:spacing w:after="0" w:line="259" w:lineRule="auto"/>
              <w:ind w:left="292" w:firstLine="0"/>
            </w:pPr>
            <w:r>
              <w:t>97</w:t>
            </w:r>
          </w:p>
        </w:tc>
      </w:tr>
      <w:tr w:rsidR="00FF19CF">
        <w:trPr>
          <w:trHeight w:val="545"/>
        </w:trPr>
        <w:tc>
          <w:tcPr>
            <w:tcW w:w="2540"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746" w:firstLine="0"/>
            </w:pPr>
            <w:r>
              <w:t>6.3</w:t>
            </w:r>
          </w:p>
        </w:tc>
        <w:tc>
          <w:tcPr>
            <w:tcW w:w="1556"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292" w:firstLine="0"/>
            </w:pPr>
            <w:r>
              <w:t>70</w:t>
            </w:r>
          </w:p>
        </w:tc>
      </w:tr>
      <w:tr w:rsidR="00FF19CF">
        <w:trPr>
          <w:trHeight w:val="545"/>
        </w:trPr>
        <w:tc>
          <w:tcPr>
            <w:tcW w:w="2540"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847" w:firstLine="0"/>
            </w:pPr>
            <w:r>
              <w:t>4</w:t>
            </w:r>
          </w:p>
        </w:tc>
        <w:tc>
          <w:tcPr>
            <w:tcW w:w="1556"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292" w:firstLine="0"/>
            </w:pPr>
            <w:r>
              <w:t>52</w:t>
            </w:r>
          </w:p>
        </w:tc>
      </w:tr>
      <w:tr w:rsidR="00FF19CF">
        <w:trPr>
          <w:trHeight w:val="545"/>
        </w:trPr>
        <w:tc>
          <w:tcPr>
            <w:tcW w:w="2540"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847" w:firstLine="0"/>
            </w:pPr>
            <w:r>
              <w:t>2</w:t>
            </w:r>
          </w:p>
        </w:tc>
        <w:tc>
          <w:tcPr>
            <w:tcW w:w="1556"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292" w:firstLine="0"/>
            </w:pPr>
            <w:r>
              <w:t>37</w:t>
            </w:r>
          </w:p>
        </w:tc>
      </w:tr>
      <w:tr w:rsidR="00FF19CF">
        <w:trPr>
          <w:trHeight w:val="545"/>
        </w:trPr>
        <w:tc>
          <w:tcPr>
            <w:tcW w:w="2540"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679" w:firstLine="0"/>
            </w:pPr>
            <w:r>
              <w:t>0.08</w:t>
            </w:r>
          </w:p>
        </w:tc>
        <w:tc>
          <w:tcPr>
            <w:tcW w:w="1556"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356" w:firstLine="0"/>
            </w:pPr>
            <w:r>
              <w:t>8</w:t>
            </w:r>
          </w:p>
        </w:tc>
      </w:tr>
      <w:tr w:rsidR="00FF19CF">
        <w:trPr>
          <w:trHeight w:val="150"/>
        </w:trPr>
        <w:tc>
          <w:tcPr>
            <w:tcW w:w="2540" w:type="dxa"/>
            <w:tcBorders>
              <w:top w:val="double" w:sz="5" w:space="0" w:color="000000"/>
              <w:left w:val="single" w:sz="8" w:space="0" w:color="000000"/>
              <w:bottom w:val="double" w:sz="5" w:space="0" w:color="000000"/>
              <w:right w:val="double" w:sz="5" w:space="0" w:color="000000"/>
            </w:tcBorders>
          </w:tcPr>
          <w:p w:rsidR="00FF19CF" w:rsidRDefault="00FF19CF">
            <w:pPr>
              <w:spacing w:after="160" w:line="259" w:lineRule="auto"/>
              <w:ind w:left="0" w:firstLine="0"/>
            </w:pPr>
          </w:p>
        </w:tc>
        <w:tc>
          <w:tcPr>
            <w:tcW w:w="1556" w:type="dxa"/>
            <w:tcBorders>
              <w:top w:val="double" w:sz="5" w:space="0" w:color="000000"/>
              <w:left w:val="double" w:sz="5" w:space="0" w:color="000000"/>
              <w:bottom w:val="double" w:sz="5" w:space="0" w:color="000000"/>
              <w:right w:val="single" w:sz="8" w:space="0" w:color="000000"/>
            </w:tcBorders>
          </w:tcPr>
          <w:p w:rsidR="00FF19CF" w:rsidRDefault="00FF19CF">
            <w:pPr>
              <w:spacing w:after="160" w:line="259" w:lineRule="auto"/>
              <w:ind w:left="0" w:firstLine="0"/>
            </w:pPr>
          </w:p>
        </w:tc>
      </w:tr>
    </w:tbl>
    <w:p w:rsidR="00FF19CF" w:rsidRDefault="00E361F2">
      <w:pPr>
        <w:pStyle w:val="Titre2"/>
        <w:spacing w:after="6" w:line="482" w:lineRule="auto"/>
        <w:ind w:left="-5"/>
      </w:pPr>
      <w:r>
        <w:t>2.04.3</w:t>
      </w:r>
      <w:r>
        <w:tab/>
        <w:t>Les enrobés seront conformes aux normes NF P 98-130 et 98-150 2.04.4</w:t>
      </w:r>
      <w:r>
        <w:tab/>
        <w:t>Les spécifications des G.N.T: a : Conformes a la norme XP P 18-545</w:t>
      </w:r>
    </w:p>
    <w:p w:rsidR="00FF19CF" w:rsidRDefault="00E361F2">
      <w:pPr>
        <w:spacing w:after="11"/>
        <w:ind w:left="-5" w:right="4"/>
      </w:pPr>
      <w:r>
        <w:rPr>
          <w:b/>
        </w:rPr>
        <w:t xml:space="preserve">b </w:t>
      </w:r>
      <w:r>
        <w:t>: Les fuseaux de spécification seront conformes à la norme NF EN 13285 13242 et indiqués ci-après :</w:t>
      </w:r>
    </w:p>
    <w:tbl>
      <w:tblPr>
        <w:tblStyle w:val="TableGrid"/>
        <w:tblW w:w="8347" w:type="dxa"/>
        <w:tblInd w:w="648" w:type="dxa"/>
        <w:tblCellMar>
          <w:top w:w="42" w:type="dxa"/>
          <w:left w:w="67" w:type="dxa"/>
          <w:right w:w="115" w:type="dxa"/>
        </w:tblCellMar>
        <w:tblLook w:val="04A0" w:firstRow="1" w:lastRow="0" w:firstColumn="1" w:lastColumn="0" w:noHBand="0" w:noVBand="1"/>
      </w:tblPr>
      <w:tblGrid>
        <w:gridCol w:w="1406"/>
        <w:gridCol w:w="1132"/>
        <w:gridCol w:w="1184"/>
        <w:gridCol w:w="1131"/>
        <w:gridCol w:w="1184"/>
        <w:gridCol w:w="1130"/>
        <w:gridCol w:w="1180"/>
      </w:tblGrid>
      <w:tr w:rsidR="00FF19CF">
        <w:trPr>
          <w:trHeight w:val="544"/>
        </w:trPr>
        <w:tc>
          <w:tcPr>
            <w:tcW w:w="1406" w:type="dxa"/>
            <w:tcBorders>
              <w:top w:val="double" w:sz="5" w:space="0" w:color="000000"/>
              <w:left w:val="single" w:sz="8" w:space="0" w:color="000000"/>
              <w:bottom w:val="double" w:sz="5" w:space="0" w:color="000000"/>
              <w:right w:val="double" w:sz="5" w:space="0" w:color="000000"/>
            </w:tcBorders>
          </w:tcPr>
          <w:p w:rsidR="00FF19CF" w:rsidRDefault="00FF19CF">
            <w:pPr>
              <w:spacing w:after="160" w:line="259" w:lineRule="auto"/>
              <w:ind w:left="0" w:firstLine="0"/>
            </w:pPr>
          </w:p>
        </w:tc>
        <w:tc>
          <w:tcPr>
            <w:tcW w:w="2316" w:type="dxa"/>
            <w:gridSpan w:val="2"/>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80" w:firstLine="0"/>
            </w:pPr>
            <w:r>
              <w:rPr>
                <w:b/>
              </w:rPr>
              <w:t>G.N.T. 0/20</w:t>
            </w:r>
          </w:p>
        </w:tc>
        <w:tc>
          <w:tcPr>
            <w:tcW w:w="2315" w:type="dxa"/>
            <w:gridSpan w:val="2"/>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82" w:firstLine="0"/>
            </w:pPr>
            <w:r>
              <w:rPr>
                <w:b/>
              </w:rPr>
              <w:t>G.N.T. 0/31.5</w:t>
            </w:r>
          </w:p>
        </w:tc>
        <w:tc>
          <w:tcPr>
            <w:tcW w:w="2310" w:type="dxa"/>
            <w:gridSpan w:val="2"/>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181" w:firstLine="0"/>
            </w:pPr>
            <w:r>
              <w:rPr>
                <w:b/>
              </w:rPr>
              <w:t>G.N.T. 0/63</w:t>
            </w:r>
          </w:p>
        </w:tc>
      </w:tr>
      <w:tr w:rsidR="00FF19CF">
        <w:trPr>
          <w:trHeight w:val="545"/>
        </w:trPr>
        <w:tc>
          <w:tcPr>
            <w:tcW w:w="1406"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0" w:firstLine="0"/>
            </w:pPr>
            <w:r>
              <w:rPr>
                <w:b/>
              </w:rPr>
              <w:t>Tamis</w:t>
            </w:r>
          </w:p>
        </w:tc>
        <w:tc>
          <w:tcPr>
            <w:tcW w:w="1132"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2" w:firstLine="0"/>
            </w:pPr>
            <w:r>
              <w:rPr>
                <w:b/>
              </w:rPr>
              <w:t>Min</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4" w:firstLine="0"/>
            </w:pPr>
            <w:r>
              <w:rPr>
                <w:b/>
              </w:rPr>
              <w:t>Max</w:t>
            </w:r>
          </w:p>
        </w:tc>
        <w:tc>
          <w:tcPr>
            <w:tcW w:w="1131"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3" w:firstLine="0"/>
            </w:pPr>
            <w:r>
              <w:rPr>
                <w:b/>
              </w:rPr>
              <w:t>Min</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2" w:firstLine="0"/>
            </w:pPr>
            <w:r>
              <w:rPr>
                <w:b/>
              </w:rPr>
              <w:t>Max</w:t>
            </w:r>
          </w:p>
        </w:tc>
        <w:tc>
          <w:tcPr>
            <w:tcW w:w="1130"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4" w:firstLine="0"/>
            </w:pPr>
            <w:r>
              <w:rPr>
                <w:b/>
              </w:rPr>
              <w:t>Min</w:t>
            </w:r>
          </w:p>
        </w:tc>
        <w:tc>
          <w:tcPr>
            <w:tcW w:w="1180"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4" w:firstLine="0"/>
            </w:pPr>
            <w:r>
              <w:rPr>
                <w:b/>
              </w:rPr>
              <w:t>Max</w:t>
            </w:r>
          </w:p>
        </w:tc>
      </w:tr>
      <w:tr w:rsidR="00FF19CF">
        <w:trPr>
          <w:trHeight w:val="151"/>
        </w:trPr>
        <w:tc>
          <w:tcPr>
            <w:tcW w:w="1406" w:type="dxa"/>
            <w:tcBorders>
              <w:top w:val="double" w:sz="5" w:space="0" w:color="000000"/>
              <w:left w:val="single" w:sz="8" w:space="0" w:color="000000"/>
              <w:bottom w:val="double" w:sz="5" w:space="0" w:color="000000"/>
              <w:right w:val="double" w:sz="5" w:space="0" w:color="000000"/>
            </w:tcBorders>
          </w:tcPr>
          <w:p w:rsidR="00FF19CF" w:rsidRDefault="00FF19CF">
            <w:pPr>
              <w:spacing w:after="160" w:line="259" w:lineRule="auto"/>
              <w:ind w:left="0" w:firstLine="0"/>
            </w:pPr>
          </w:p>
        </w:tc>
        <w:tc>
          <w:tcPr>
            <w:tcW w:w="1132" w:type="dxa"/>
            <w:tcBorders>
              <w:top w:val="double" w:sz="5" w:space="0" w:color="000000"/>
              <w:left w:val="double" w:sz="5" w:space="0" w:color="000000"/>
              <w:bottom w:val="double" w:sz="5" w:space="0" w:color="000000"/>
              <w:right w:val="double" w:sz="5" w:space="0" w:color="000000"/>
            </w:tcBorders>
          </w:tcPr>
          <w:p w:rsidR="00FF19CF" w:rsidRDefault="00FF19CF">
            <w:pPr>
              <w:spacing w:after="160" w:line="259" w:lineRule="auto"/>
              <w:ind w:left="0" w:firstLine="0"/>
            </w:pPr>
          </w:p>
        </w:tc>
        <w:tc>
          <w:tcPr>
            <w:tcW w:w="1184" w:type="dxa"/>
            <w:tcBorders>
              <w:top w:val="double" w:sz="5" w:space="0" w:color="000000"/>
              <w:left w:val="double" w:sz="5" w:space="0" w:color="000000"/>
              <w:bottom w:val="double" w:sz="5" w:space="0" w:color="000000"/>
              <w:right w:val="double" w:sz="5" w:space="0" w:color="000000"/>
            </w:tcBorders>
          </w:tcPr>
          <w:p w:rsidR="00FF19CF" w:rsidRDefault="00FF19CF">
            <w:pPr>
              <w:spacing w:after="160" w:line="259" w:lineRule="auto"/>
              <w:ind w:left="0" w:firstLine="0"/>
            </w:pPr>
          </w:p>
        </w:tc>
        <w:tc>
          <w:tcPr>
            <w:tcW w:w="1131" w:type="dxa"/>
            <w:tcBorders>
              <w:top w:val="double" w:sz="5" w:space="0" w:color="000000"/>
              <w:left w:val="double" w:sz="5" w:space="0" w:color="000000"/>
              <w:bottom w:val="double" w:sz="5" w:space="0" w:color="000000"/>
              <w:right w:val="double" w:sz="5" w:space="0" w:color="000000"/>
            </w:tcBorders>
          </w:tcPr>
          <w:p w:rsidR="00FF19CF" w:rsidRDefault="00FF19CF">
            <w:pPr>
              <w:spacing w:after="160" w:line="259" w:lineRule="auto"/>
              <w:ind w:left="0" w:firstLine="0"/>
            </w:pPr>
          </w:p>
        </w:tc>
        <w:tc>
          <w:tcPr>
            <w:tcW w:w="1184" w:type="dxa"/>
            <w:tcBorders>
              <w:top w:val="double" w:sz="5" w:space="0" w:color="000000"/>
              <w:left w:val="double" w:sz="5" w:space="0" w:color="000000"/>
              <w:bottom w:val="double" w:sz="5" w:space="0" w:color="000000"/>
              <w:right w:val="double" w:sz="5" w:space="0" w:color="000000"/>
            </w:tcBorders>
          </w:tcPr>
          <w:p w:rsidR="00FF19CF" w:rsidRDefault="00FF19CF">
            <w:pPr>
              <w:spacing w:after="160" w:line="259" w:lineRule="auto"/>
              <w:ind w:left="0" w:firstLine="0"/>
            </w:pPr>
          </w:p>
        </w:tc>
        <w:tc>
          <w:tcPr>
            <w:tcW w:w="1130" w:type="dxa"/>
            <w:tcBorders>
              <w:top w:val="double" w:sz="5" w:space="0" w:color="000000"/>
              <w:left w:val="double" w:sz="5" w:space="0" w:color="000000"/>
              <w:bottom w:val="double" w:sz="5" w:space="0" w:color="000000"/>
              <w:right w:val="double" w:sz="5" w:space="0" w:color="000000"/>
            </w:tcBorders>
          </w:tcPr>
          <w:p w:rsidR="00FF19CF" w:rsidRDefault="00FF19CF">
            <w:pPr>
              <w:spacing w:after="160" w:line="259" w:lineRule="auto"/>
              <w:ind w:left="0" w:firstLine="0"/>
            </w:pPr>
          </w:p>
        </w:tc>
        <w:tc>
          <w:tcPr>
            <w:tcW w:w="1180" w:type="dxa"/>
            <w:tcBorders>
              <w:top w:val="double" w:sz="5" w:space="0" w:color="000000"/>
              <w:left w:val="double" w:sz="5" w:space="0" w:color="000000"/>
              <w:bottom w:val="double" w:sz="5" w:space="0" w:color="000000"/>
              <w:right w:val="single" w:sz="8" w:space="0" w:color="000000"/>
            </w:tcBorders>
          </w:tcPr>
          <w:p w:rsidR="00FF19CF" w:rsidRDefault="00FF19CF">
            <w:pPr>
              <w:spacing w:after="160" w:line="259" w:lineRule="auto"/>
              <w:ind w:left="0" w:firstLine="0"/>
            </w:pPr>
          </w:p>
        </w:tc>
      </w:tr>
      <w:tr w:rsidR="00FF19CF">
        <w:trPr>
          <w:trHeight w:val="545"/>
        </w:trPr>
        <w:tc>
          <w:tcPr>
            <w:tcW w:w="1406"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214" w:firstLine="0"/>
            </w:pPr>
            <w:r>
              <w:t>80</w:t>
            </w:r>
          </w:p>
        </w:tc>
        <w:tc>
          <w:tcPr>
            <w:tcW w:w="1132"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68" w:firstLine="0"/>
            </w:pPr>
            <w:r>
              <w:t>-</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98" w:firstLine="0"/>
            </w:pPr>
            <w:r>
              <w:t>-</w:t>
            </w:r>
          </w:p>
        </w:tc>
        <w:tc>
          <w:tcPr>
            <w:tcW w:w="1131"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68" w:firstLine="0"/>
            </w:pPr>
            <w:r>
              <w:t>-</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97" w:firstLine="0"/>
            </w:pPr>
            <w:r>
              <w:t>-</w:t>
            </w:r>
          </w:p>
        </w:tc>
        <w:tc>
          <w:tcPr>
            <w:tcW w:w="1130"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8" w:firstLine="0"/>
            </w:pPr>
            <w:r>
              <w:t>100</w:t>
            </w:r>
          </w:p>
        </w:tc>
        <w:tc>
          <w:tcPr>
            <w:tcW w:w="1180"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37" w:firstLine="0"/>
            </w:pPr>
            <w:r>
              <w:t>100</w:t>
            </w:r>
          </w:p>
        </w:tc>
      </w:tr>
      <w:tr w:rsidR="00FF19CF">
        <w:trPr>
          <w:trHeight w:val="545"/>
        </w:trPr>
        <w:tc>
          <w:tcPr>
            <w:tcW w:w="1406"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214" w:firstLine="0"/>
            </w:pPr>
            <w:r>
              <w:t>63</w:t>
            </w:r>
          </w:p>
        </w:tc>
        <w:tc>
          <w:tcPr>
            <w:tcW w:w="1132"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68" w:firstLine="0"/>
            </w:pPr>
            <w:r>
              <w:t>-</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98" w:firstLine="0"/>
            </w:pPr>
            <w:r>
              <w:t>-</w:t>
            </w:r>
          </w:p>
        </w:tc>
        <w:tc>
          <w:tcPr>
            <w:tcW w:w="1131"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68" w:firstLine="0"/>
            </w:pPr>
            <w:r>
              <w:t>-</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97" w:firstLine="0"/>
            </w:pPr>
            <w:r>
              <w:t>-</w:t>
            </w:r>
          </w:p>
        </w:tc>
        <w:tc>
          <w:tcPr>
            <w:tcW w:w="1130"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6" w:firstLine="0"/>
            </w:pPr>
            <w:r>
              <w:t>85</w:t>
            </w:r>
          </w:p>
        </w:tc>
        <w:tc>
          <w:tcPr>
            <w:tcW w:w="1180"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104" w:firstLine="0"/>
            </w:pPr>
            <w:r>
              <w:t>99</w:t>
            </w:r>
          </w:p>
        </w:tc>
      </w:tr>
      <w:tr w:rsidR="00FF19CF">
        <w:trPr>
          <w:trHeight w:val="545"/>
        </w:trPr>
        <w:tc>
          <w:tcPr>
            <w:tcW w:w="1406"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214" w:firstLine="0"/>
            </w:pPr>
            <w:r>
              <w:t>40</w:t>
            </w:r>
          </w:p>
        </w:tc>
        <w:tc>
          <w:tcPr>
            <w:tcW w:w="1132"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68" w:firstLine="0"/>
            </w:pPr>
            <w:r>
              <w:t>-</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98" w:firstLine="0"/>
            </w:pPr>
            <w:r>
              <w:t>-</w:t>
            </w:r>
          </w:p>
        </w:tc>
        <w:tc>
          <w:tcPr>
            <w:tcW w:w="1131"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8" w:firstLine="0"/>
            </w:pPr>
            <w:r>
              <w:t>100</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36" w:firstLine="0"/>
            </w:pPr>
            <w:r>
              <w:t>100</w:t>
            </w:r>
          </w:p>
        </w:tc>
        <w:tc>
          <w:tcPr>
            <w:tcW w:w="1130"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6" w:firstLine="0"/>
            </w:pPr>
            <w:r>
              <w:t>65</w:t>
            </w:r>
          </w:p>
        </w:tc>
        <w:tc>
          <w:tcPr>
            <w:tcW w:w="1180"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104" w:firstLine="0"/>
            </w:pPr>
            <w:r>
              <w:t>91</w:t>
            </w:r>
          </w:p>
        </w:tc>
      </w:tr>
      <w:tr w:rsidR="00FF19CF">
        <w:trPr>
          <w:trHeight w:val="545"/>
        </w:trPr>
        <w:tc>
          <w:tcPr>
            <w:tcW w:w="1406"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113" w:firstLine="0"/>
            </w:pPr>
            <w:r>
              <w:lastRenderedPageBreak/>
              <w:t>31,5</w:t>
            </w:r>
          </w:p>
        </w:tc>
        <w:tc>
          <w:tcPr>
            <w:tcW w:w="1132"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 w:firstLine="0"/>
            </w:pPr>
            <w:r>
              <w:t>100</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37" w:firstLine="0"/>
            </w:pPr>
            <w:r>
              <w:t>100</w:t>
            </w:r>
          </w:p>
        </w:tc>
        <w:tc>
          <w:tcPr>
            <w:tcW w:w="1131"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5" w:firstLine="0"/>
            </w:pPr>
            <w:r>
              <w:t>85</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03" w:firstLine="0"/>
            </w:pPr>
            <w:r>
              <w:t>99</w:t>
            </w:r>
          </w:p>
        </w:tc>
        <w:tc>
          <w:tcPr>
            <w:tcW w:w="1130"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6" w:firstLine="0"/>
            </w:pPr>
            <w:r>
              <w:t>56</w:t>
            </w:r>
          </w:p>
        </w:tc>
        <w:tc>
          <w:tcPr>
            <w:tcW w:w="1180"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104" w:firstLine="0"/>
            </w:pPr>
            <w:r>
              <w:t>86</w:t>
            </w:r>
          </w:p>
        </w:tc>
      </w:tr>
      <w:tr w:rsidR="00FF19CF">
        <w:trPr>
          <w:trHeight w:val="545"/>
        </w:trPr>
        <w:tc>
          <w:tcPr>
            <w:tcW w:w="1406"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214" w:firstLine="0"/>
            </w:pPr>
            <w:r>
              <w:t>20</w:t>
            </w:r>
          </w:p>
        </w:tc>
        <w:tc>
          <w:tcPr>
            <w:tcW w:w="1132"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4" w:firstLine="0"/>
            </w:pPr>
            <w:r>
              <w:t>85</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04" w:firstLine="0"/>
            </w:pPr>
            <w:r>
              <w:t>99</w:t>
            </w:r>
          </w:p>
        </w:tc>
        <w:tc>
          <w:tcPr>
            <w:tcW w:w="1131"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5" w:firstLine="0"/>
            </w:pPr>
            <w:r>
              <w:t>62</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03" w:firstLine="0"/>
            </w:pPr>
            <w:r>
              <w:t>90</w:t>
            </w:r>
          </w:p>
        </w:tc>
        <w:tc>
          <w:tcPr>
            <w:tcW w:w="1130"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6" w:firstLine="0"/>
            </w:pPr>
            <w:r>
              <w:t>43</w:t>
            </w:r>
          </w:p>
        </w:tc>
        <w:tc>
          <w:tcPr>
            <w:tcW w:w="1180"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104" w:firstLine="0"/>
            </w:pPr>
            <w:r>
              <w:t>76</w:t>
            </w:r>
          </w:p>
        </w:tc>
      </w:tr>
      <w:tr w:rsidR="00FF19CF">
        <w:trPr>
          <w:trHeight w:val="545"/>
        </w:trPr>
        <w:tc>
          <w:tcPr>
            <w:tcW w:w="1406"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214" w:firstLine="0"/>
            </w:pPr>
            <w:r>
              <w:t>10</w:t>
            </w:r>
          </w:p>
        </w:tc>
        <w:tc>
          <w:tcPr>
            <w:tcW w:w="1132"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4" w:firstLine="0"/>
            </w:pPr>
            <w:r>
              <w:t>55</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04" w:firstLine="0"/>
            </w:pPr>
            <w:r>
              <w:t>82</w:t>
            </w:r>
          </w:p>
        </w:tc>
        <w:tc>
          <w:tcPr>
            <w:tcW w:w="1131"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5" w:firstLine="0"/>
            </w:pPr>
            <w:r>
              <w:t>40</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03" w:firstLine="0"/>
            </w:pPr>
            <w:r>
              <w:t>70</w:t>
            </w:r>
          </w:p>
        </w:tc>
        <w:tc>
          <w:tcPr>
            <w:tcW w:w="1130"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6" w:firstLine="0"/>
            </w:pPr>
            <w:r>
              <w:t>29</w:t>
            </w:r>
          </w:p>
        </w:tc>
        <w:tc>
          <w:tcPr>
            <w:tcW w:w="1180"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104" w:firstLine="0"/>
            </w:pPr>
            <w:r>
              <w:t>62</w:t>
            </w:r>
          </w:p>
        </w:tc>
      </w:tr>
      <w:tr w:rsidR="00FF19CF">
        <w:trPr>
          <w:trHeight w:val="545"/>
        </w:trPr>
        <w:tc>
          <w:tcPr>
            <w:tcW w:w="1406"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180" w:firstLine="0"/>
            </w:pPr>
            <w:r>
              <w:t>6,3</w:t>
            </w:r>
          </w:p>
        </w:tc>
        <w:tc>
          <w:tcPr>
            <w:tcW w:w="1132"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4" w:firstLine="0"/>
            </w:pPr>
            <w:r>
              <w:t>42</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04" w:firstLine="0"/>
            </w:pPr>
            <w:r>
              <w:t>70</w:t>
            </w:r>
          </w:p>
        </w:tc>
        <w:tc>
          <w:tcPr>
            <w:tcW w:w="1131"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5" w:firstLine="0"/>
            </w:pPr>
            <w:r>
              <w:t>31</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03" w:firstLine="0"/>
            </w:pPr>
            <w:r>
              <w:t>60</w:t>
            </w:r>
          </w:p>
        </w:tc>
        <w:tc>
          <w:tcPr>
            <w:tcW w:w="1130"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6" w:firstLine="0"/>
            </w:pPr>
            <w:r>
              <w:t>22</w:t>
            </w:r>
          </w:p>
        </w:tc>
        <w:tc>
          <w:tcPr>
            <w:tcW w:w="1180"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104" w:firstLine="0"/>
            </w:pPr>
            <w:r>
              <w:t>53</w:t>
            </w:r>
          </w:p>
        </w:tc>
      </w:tr>
      <w:tr w:rsidR="00FF19CF">
        <w:trPr>
          <w:trHeight w:val="545"/>
        </w:trPr>
        <w:tc>
          <w:tcPr>
            <w:tcW w:w="1406"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278" w:firstLine="0"/>
            </w:pPr>
            <w:r>
              <w:t>4</w:t>
            </w:r>
          </w:p>
        </w:tc>
        <w:tc>
          <w:tcPr>
            <w:tcW w:w="1132"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4" w:firstLine="0"/>
            </w:pPr>
            <w:r>
              <w:t>32</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04" w:firstLine="0"/>
            </w:pPr>
            <w:r>
              <w:t>60</w:t>
            </w:r>
          </w:p>
        </w:tc>
        <w:tc>
          <w:tcPr>
            <w:tcW w:w="1131"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5" w:firstLine="0"/>
            </w:pPr>
            <w:r>
              <w:t>25</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03" w:firstLine="0"/>
            </w:pPr>
            <w:r>
              <w:t>52</w:t>
            </w:r>
          </w:p>
        </w:tc>
        <w:tc>
          <w:tcPr>
            <w:tcW w:w="1130"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6" w:firstLine="0"/>
            </w:pPr>
            <w:r>
              <w:t>17</w:t>
            </w:r>
          </w:p>
        </w:tc>
        <w:tc>
          <w:tcPr>
            <w:tcW w:w="1180"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104" w:firstLine="0"/>
            </w:pPr>
            <w:r>
              <w:t>46</w:t>
            </w:r>
          </w:p>
        </w:tc>
      </w:tr>
      <w:tr w:rsidR="00FF19CF">
        <w:trPr>
          <w:trHeight w:val="545"/>
        </w:trPr>
        <w:tc>
          <w:tcPr>
            <w:tcW w:w="1406"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278" w:firstLine="0"/>
            </w:pPr>
            <w:r>
              <w:t>2</w:t>
            </w:r>
          </w:p>
        </w:tc>
        <w:tc>
          <w:tcPr>
            <w:tcW w:w="1132"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4" w:firstLine="0"/>
            </w:pPr>
            <w:r>
              <w:t>22</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04" w:firstLine="0"/>
            </w:pPr>
            <w:r>
              <w:t>49</w:t>
            </w:r>
          </w:p>
        </w:tc>
        <w:tc>
          <w:tcPr>
            <w:tcW w:w="1131"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5" w:firstLine="0"/>
            </w:pPr>
            <w:r>
              <w:t>18</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03" w:firstLine="0"/>
            </w:pPr>
            <w:r>
              <w:t>43</w:t>
            </w:r>
          </w:p>
        </w:tc>
        <w:tc>
          <w:tcPr>
            <w:tcW w:w="1130"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6" w:firstLine="0"/>
            </w:pPr>
            <w:r>
              <w:t>12</w:t>
            </w:r>
          </w:p>
        </w:tc>
        <w:tc>
          <w:tcPr>
            <w:tcW w:w="1180"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104" w:firstLine="0"/>
            </w:pPr>
            <w:r>
              <w:t>36</w:t>
            </w:r>
          </w:p>
        </w:tc>
      </w:tr>
      <w:tr w:rsidR="00FF19CF">
        <w:trPr>
          <w:trHeight w:val="544"/>
        </w:trPr>
        <w:tc>
          <w:tcPr>
            <w:tcW w:w="1406"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180" w:firstLine="0"/>
            </w:pPr>
            <w:r>
              <w:t>0,5</w:t>
            </w:r>
          </w:p>
        </w:tc>
        <w:tc>
          <w:tcPr>
            <w:tcW w:w="1132"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4" w:firstLine="0"/>
            </w:pPr>
            <w:r>
              <w:t>11</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04" w:firstLine="0"/>
            </w:pPr>
            <w:r>
              <w:t>30</w:t>
            </w:r>
          </w:p>
        </w:tc>
        <w:tc>
          <w:tcPr>
            <w:tcW w:w="1131"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75" w:firstLine="0"/>
            </w:pPr>
            <w:r>
              <w:t>10</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03" w:firstLine="0"/>
            </w:pPr>
            <w:r>
              <w:t>27</w:t>
            </w:r>
          </w:p>
        </w:tc>
        <w:tc>
          <w:tcPr>
            <w:tcW w:w="1130"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43" w:firstLine="0"/>
            </w:pPr>
            <w:r>
              <w:t>6</w:t>
            </w:r>
          </w:p>
        </w:tc>
        <w:tc>
          <w:tcPr>
            <w:tcW w:w="1180"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104" w:firstLine="0"/>
            </w:pPr>
            <w:r>
              <w:t>22</w:t>
            </w:r>
          </w:p>
        </w:tc>
      </w:tr>
      <w:tr w:rsidR="00FF19CF">
        <w:trPr>
          <w:trHeight w:val="546"/>
        </w:trPr>
        <w:tc>
          <w:tcPr>
            <w:tcW w:w="1406"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left="77" w:firstLine="0"/>
            </w:pPr>
            <w:r>
              <w:t>0,2</w:t>
            </w:r>
          </w:p>
        </w:tc>
        <w:tc>
          <w:tcPr>
            <w:tcW w:w="1132"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38" w:firstLine="0"/>
            </w:pPr>
            <w:r>
              <w:t>7</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 w:firstLine="0"/>
            </w:pPr>
            <w:r>
              <w:t>20</w:t>
            </w:r>
          </w:p>
        </w:tc>
        <w:tc>
          <w:tcPr>
            <w:tcW w:w="1131"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38" w:firstLine="0"/>
            </w:pPr>
            <w:r>
              <w:t>6</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0" w:firstLine="0"/>
            </w:pPr>
            <w:r>
              <w:t>18</w:t>
            </w:r>
          </w:p>
        </w:tc>
        <w:tc>
          <w:tcPr>
            <w:tcW w:w="1130"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40" w:firstLine="0"/>
            </w:pPr>
            <w:r>
              <w:t>4</w:t>
            </w:r>
          </w:p>
        </w:tc>
        <w:tc>
          <w:tcPr>
            <w:tcW w:w="1180"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1" w:firstLine="0"/>
            </w:pPr>
            <w:r>
              <w:t>16</w:t>
            </w:r>
          </w:p>
        </w:tc>
      </w:tr>
      <w:tr w:rsidR="00FF19CF">
        <w:trPr>
          <w:trHeight w:val="545"/>
        </w:trPr>
        <w:tc>
          <w:tcPr>
            <w:tcW w:w="1406" w:type="dxa"/>
            <w:tcBorders>
              <w:top w:val="double" w:sz="5" w:space="0" w:color="000000"/>
              <w:left w:val="single" w:sz="8" w:space="0" w:color="000000"/>
              <w:bottom w:val="double" w:sz="5" w:space="0" w:color="000000"/>
              <w:right w:val="double" w:sz="5" w:space="0" w:color="000000"/>
            </w:tcBorders>
          </w:tcPr>
          <w:p w:rsidR="00FF19CF" w:rsidRDefault="00E361F2">
            <w:pPr>
              <w:spacing w:after="0" w:line="259" w:lineRule="auto"/>
              <w:ind w:firstLine="0"/>
            </w:pPr>
            <w:r>
              <w:t>0,08</w:t>
            </w:r>
          </w:p>
        </w:tc>
        <w:tc>
          <w:tcPr>
            <w:tcW w:w="1132"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38" w:firstLine="0"/>
            </w:pPr>
            <w:r>
              <w:t>4</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1" w:firstLine="0"/>
            </w:pPr>
            <w:r>
              <w:t>10</w:t>
            </w:r>
          </w:p>
        </w:tc>
        <w:tc>
          <w:tcPr>
            <w:tcW w:w="1131"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38" w:firstLine="0"/>
            </w:pPr>
            <w:r>
              <w:t>4</w:t>
            </w:r>
          </w:p>
        </w:tc>
        <w:tc>
          <w:tcPr>
            <w:tcW w:w="1184"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0" w:firstLine="0"/>
            </w:pPr>
            <w:r>
              <w:t>10</w:t>
            </w:r>
          </w:p>
        </w:tc>
        <w:tc>
          <w:tcPr>
            <w:tcW w:w="1130" w:type="dxa"/>
            <w:tcBorders>
              <w:top w:val="double" w:sz="5" w:space="0" w:color="000000"/>
              <w:left w:val="double" w:sz="5" w:space="0" w:color="000000"/>
              <w:bottom w:val="double" w:sz="5" w:space="0" w:color="000000"/>
              <w:right w:val="double" w:sz="5" w:space="0" w:color="000000"/>
            </w:tcBorders>
          </w:tcPr>
          <w:p w:rsidR="00FF19CF" w:rsidRDefault="00E361F2">
            <w:pPr>
              <w:spacing w:after="0" w:line="259" w:lineRule="auto"/>
              <w:ind w:left="40" w:firstLine="0"/>
            </w:pPr>
            <w:r>
              <w:t>2</w:t>
            </w:r>
          </w:p>
        </w:tc>
        <w:tc>
          <w:tcPr>
            <w:tcW w:w="1180" w:type="dxa"/>
            <w:tcBorders>
              <w:top w:val="double" w:sz="5" w:space="0" w:color="000000"/>
              <w:left w:val="double" w:sz="5" w:space="0" w:color="000000"/>
              <w:bottom w:val="double" w:sz="5" w:space="0" w:color="000000"/>
              <w:right w:val="single" w:sz="8" w:space="0" w:color="000000"/>
            </w:tcBorders>
          </w:tcPr>
          <w:p w:rsidR="00FF19CF" w:rsidRDefault="00E361F2">
            <w:pPr>
              <w:spacing w:after="0" w:line="259" w:lineRule="auto"/>
              <w:ind w:left="1" w:firstLine="0"/>
            </w:pPr>
            <w:r>
              <w:t>12</w:t>
            </w:r>
          </w:p>
        </w:tc>
      </w:tr>
      <w:tr w:rsidR="00FF19CF">
        <w:trPr>
          <w:trHeight w:val="150"/>
        </w:trPr>
        <w:tc>
          <w:tcPr>
            <w:tcW w:w="1406" w:type="dxa"/>
            <w:tcBorders>
              <w:top w:val="double" w:sz="5" w:space="0" w:color="000000"/>
              <w:left w:val="single" w:sz="8" w:space="0" w:color="000000"/>
              <w:bottom w:val="double" w:sz="5" w:space="0" w:color="000000"/>
              <w:right w:val="double" w:sz="5" w:space="0" w:color="000000"/>
            </w:tcBorders>
          </w:tcPr>
          <w:p w:rsidR="00FF19CF" w:rsidRDefault="00FF19CF">
            <w:pPr>
              <w:spacing w:after="160" w:line="259" w:lineRule="auto"/>
              <w:ind w:left="0" w:firstLine="0"/>
            </w:pPr>
          </w:p>
        </w:tc>
        <w:tc>
          <w:tcPr>
            <w:tcW w:w="1132" w:type="dxa"/>
            <w:tcBorders>
              <w:top w:val="double" w:sz="5" w:space="0" w:color="000000"/>
              <w:left w:val="double" w:sz="5" w:space="0" w:color="000000"/>
              <w:bottom w:val="double" w:sz="5" w:space="0" w:color="000000"/>
              <w:right w:val="double" w:sz="5" w:space="0" w:color="000000"/>
            </w:tcBorders>
            <w:vAlign w:val="center"/>
          </w:tcPr>
          <w:p w:rsidR="00FF19CF" w:rsidRDefault="00FF19CF">
            <w:pPr>
              <w:spacing w:after="160" w:line="259" w:lineRule="auto"/>
              <w:ind w:left="0" w:firstLine="0"/>
            </w:pPr>
          </w:p>
        </w:tc>
        <w:tc>
          <w:tcPr>
            <w:tcW w:w="1184" w:type="dxa"/>
            <w:tcBorders>
              <w:top w:val="double" w:sz="5" w:space="0" w:color="000000"/>
              <w:left w:val="double" w:sz="5" w:space="0" w:color="000000"/>
              <w:bottom w:val="double" w:sz="5" w:space="0" w:color="000000"/>
              <w:right w:val="double" w:sz="5" w:space="0" w:color="000000"/>
            </w:tcBorders>
          </w:tcPr>
          <w:p w:rsidR="00FF19CF" w:rsidRDefault="00FF19CF">
            <w:pPr>
              <w:spacing w:after="160" w:line="259" w:lineRule="auto"/>
              <w:ind w:left="0" w:firstLine="0"/>
            </w:pPr>
          </w:p>
        </w:tc>
        <w:tc>
          <w:tcPr>
            <w:tcW w:w="1131" w:type="dxa"/>
            <w:tcBorders>
              <w:top w:val="double" w:sz="5" w:space="0" w:color="000000"/>
              <w:left w:val="double" w:sz="5" w:space="0" w:color="000000"/>
              <w:bottom w:val="double" w:sz="5" w:space="0" w:color="000000"/>
              <w:right w:val="double" w:sz="5" w:space="0" w:color="000000"/>
            </w:tcBorders>
          </w:tcPr>
          <w:p w:rsidR="00FF19CF" w:rsidRDefault="00FF19CF">
            <w:pPr>
              <w:spacing w:after="160" w:line="259" w:lineRule="auto"/>
              <w:ind w:left="0" w:firstLine="0"/>
            </w:pPr>
          </w:p>
        </w:tc>
        <w:tc>
          <w:tcPr>
            <w:tcW w:w="1184" w:type="dxa"/>
            <w:tcBorders>
              <w:top w:val="double" w:sz="5" w:space="0" w:color="000000"/>
              <w:left w:val="double" w:sz="5" w:space="0" w:color="000000"/>
              <w:bottom w:val="double" w:sz="5" w:space="0" w:color="000000"/>
              <w:right w:val="double" w:sz="5" w:space="0" w:color="000000"/>
            </w:tcBorders>
          </w:tcPr>
          <w:p w:rsidR="00FF19CF" w:rsidRDefault="00FF19CF">
            <w:pPr>
              <w:spacing w:after="160" w:line="259" w:lineRule="auto"/>
              <w:ind w:left="0" w:firstLine="0"/>
            </w:pPr>
          </w:p>
        </w:tc>
        <w:tc>
          <w:tcPr>
            <w:tcW w:w="1130" w:type="dxa"/>
            <w:tcBorders>
              <w:top w:val="double" w:sz="5" w:space="0" w:color="000000"/>
              <w:left w:val="double" w:sz="5" w:space="0" w:color="000000"/>
              <w:bottom w:val="double" w:sz="5" w:space="0" w:color="000000"/>
              <w:right w:val="double" w:sz="5" w:space="0" w:color="000000"/>
            </w:tcBorders>
          </w:tcPr>
          <w:p w:rsidR="00FF19CF" w:rsidRDefault="00FF19CF">
            <w:pPr>
              <w:spacing w:after="160" w:line="259" w:lineRule="auto"/>
              <w:ind w:left="0" w:firstLine="0"/>
            </w:pPr>
          </w:p>
        </w:tc>
        <w:tc>
          <w:tcPr>
            <w:tcW w:w="1180" w:type="dxa"/>
            <w:tcBorders>
              <w:top w:val="double" w:sz="5" w:space="0" w:color="000000"/>
              <w:left w:val="double" w:sz="5" w:space="0" w:color="000000"/>
              <w:bottom w:val="double" w:sz="5" w:space="0" w:color="000000"/>
              <w:right w:val="single" w:sz="8" w:space="0" w:color="000000"/>
            </w:tcBorders>
          </w:tcPr>
          <w:p w:rsidR="00FF19CF" w:rsidRDefault="00FF19CF">
            <w:pPr>
              <w:spacing w:after="160" w:line="259" w:lineRule="auto"/>
              <w:ind w:left="0" w:firstLine="0"/>
            </w:pPr>
          </w:p>
        </w:tc>
      </w:tr>
    </w:tbl>
    <w:p w:rsidR="00FF19CF" w:rsidRDefault="00E361F2">
      <w:pPr>
        <w:spacing w:after="319" w:line="239" w:lineRule="auto"/>
        <w:ind w:left="1702" w:firstLine="0"/>
      </w:pPr>
      <w:r>
        <w:rPr>
          <w:sz w:val="20"/>
        </w:rPr>
        <w:t>Ces fuseaux pourront être éventuellement adaptés par l'entrepreneur après avis du Laboratoire du maître d'ouvrage.</w:t>
      </w:r>
    </w:p>
    <w:p w:rsidR="00FF19CF" w:rsidRDefault="00E361F2">
      <w:pPr>
        <w:pStyle w:val="Titre1"/>
        <w:tabs>
          <w:tab w:val="center" w:pos="2774"/>
        </w:tabs>
        <w:ind w:left="-15" w:firstLine="0"/>
      </w:pPr>
      <w:r>
        <w:t>ARTICLE 2.05</w:t>
      </w:r>
      <w:r>
        <w:tab/>
        <w:t>FINES D'APPORT</w:t>
      </w:r>
    </w:p>
    <w:p w:rsidR="00FF19CF" w:rsidRDefault="00E361F2">
      <w:pPr>
        <w:ind w:left="-5" w:right="4"/>
      </w:pPr>
      <w:r>
        <w:t>Les fines d'apport sont définies par la norme XP P 18-545.</w:t>
      </w:r>
    </w:p>
    <w:p w:rsidR="00FF19CF" w:rsidRDefault="00E361F2">
      <w:pPr>
        <w:ind w:left="-5" w:right="4"/>
      </w:pPr>
      <w:r>
        <w:t>L'entrepreneur avisera, dès réception, le représentant sur place de l'administration, afin de lui permettre de contrôler les quantités et la qualité des fines reçues.</w:t>
      </w:r>
    </w:p>
    <w:p w:rsidR="00FF19CF" w:rsidRDefault="00E361F2">
      <w:pPr>
        <w:pStyle w:val="Titre1"/>
        <w:tabs>
          <w:tab w:val="center" w:pos="4080"/>
        </w:tabs>
        <w:ind w:left="-15" w:firstLine="0"/>
      </w:pPr>
      <w:r>
        <w:t>ARTICLE 2.06</w:t>
      </w:r>
      <w:r>
        <w:tab/>
        <w:t>LIANT POUR COUCHE D'ACCROCHAGE</w:t>
      </w:r>
    </w:p>
    <w:p w:rsidR="00FF19CF" w:rsidRDefault="00E361F2">
      <w:pPr>
        <w:ind w:left="-5" w:right="4"/>
      </w:pPr>
      <w:r>
        <w:t>Le liant pour couche d'accrochage sera en émulsion de bitume cationique à 65 % tel que défini à l'annexe II du fascicule 24 du C.C.T.G.</w:t>
      </w:r>
    </w:p>
    <w:p w:rsidR="00FF19CF" w:rsidRDefault="00E361F2">
      <w:pPr>
        <w:pStyle w:val="Titre1"/>
        <w:tabs>
          <w:tab w:val="center" w:pos="4118"/>
        </w:tabs>
        <w:ind w:left="-15" w:firstLine="0"/>
      </w:pPr>
      <w:r>
        <w:t>ARTICLE 2.07</w:t>
      </w:r>
      <w:r>
        <w:tab/>
        <w:t>CORRECTEURS, DOPES OU ACTIVANTS</w:t>
      </w:r>
    </w:p>
    <w:p w:rsidR="00FF19CF" w:rsidRDefault="00E361F2">
      <w:pPr>
        <w:ind w:left="-5" w:right="4"/>
      </w:pPr>
      <w:r>
        <w:t xml:space="preserve">Les correcteurs, dopes ou activants sont laissés à la charge de l'entrepreneur. </w:t>
      </w:r>
      <w:r w:rsidR="00BE2517">
        <w:t>Celui-ci</w:t>
      </w:r>
      <w:r>
        <w:t xml:space="preserve"> doit fournir au Maître d'œuvre la fiche technique de caractérisation et d'utilisation des produits qu'il propose d'utiliser. Le stockage doit être conforme aux modalités décrites dans la fiche précitées. Ils doivent être conformes à la norme NF P 98-150.</w:t>
      </w:r>
    </w:p>
    <w:p w:rsidR="00FB3651" w:rsidRDefault="00FB3651">
      <w:pPr>
        <w:spacing w:after="258" w:line="259" w:lineRule="auto"/>
        <w:ind w:left="16" w:right="2"/>
        <w:jc w:val="center"/>
      </w:pPr>
    </w:p>
    <w:p w:rsidR="00FB3651" w:rsidRDefault="00FB3651">
      <w:pPr>
        <w:spacing w:after="258" w:line="259" w:lineRule="auto"/>
        <w:ind w:left="16" w:right="2"/>
        <w:jc w:val="center"/>
      </w:pPr>
    </w:p>
    <w:p w:rsidR="00FF19CF" w:rsidRDefault="00E361F2">
      <w:pPr>
        <w:spacing w:after="258" w:line="259" w:lineRule="auto"/>
        <w:ind w:left="16" w:right="2"/>
        <w:jc w:val="center"/>
      </w:pPr>
      <w:r>
        <w:lastRenderedPageBreak/>
        <w:t>CHAPITRE III</w:t>
      </w:r>
    </w:p>
    <w:p w:rsidR="00FB3651" w:rsidRDefault="00E361F2">
      <w:pPr>
        <w:pStyle w:val="Titre1"/>
        <w:ind w:left="14"/>
        <w:jc w:val="center"/>
      </w:pPr>
      <w:r>
        <w:t>MODE D'EXECUTION DES ENDUITS</w:t>
      </w:r>
    </w:p>
    <w:p w:rsidR="00FF19CF" w:rsidRDefault="00E361F2">
      <w:pPr>
        <w:pStyle w:val="Titre1"/>
        <w:ind w:left="14"/>
        <w:jc w:val="center"/>
      </w:pPr>
      <w:r>
        <w:t xml:space="preserve"> ARTICLE 3.01</w:t>
      </w:r>
      <w:r>
        <w:tab/>
        <w:t>MATERIEL</w:t>
      </w:r>
    </w:p>
    <w:p w:rsidR="00FF19CF" w:rsidRDefault="00E361F2">
      <w:pPr>
        <w:ind w:left="-5" w:right="4"/>
      </w:pPr>
      <w:r>
        <w:t>En complément aux dispositions de l'article 6 du fascicule 26 du CCTG, les matériels devront satisfaire aux dispositions suivantes :</w:t>
      </w:r>
    </w:p>
    <w:p w:rsidR="00FF19CF" w:rsidRDefault="00E361F2">
      <w:pPr>
        <w:pStyle w:val="Titre2"/>
        <w:tabs>
          <w:tab w:val="center" w:pos="1895"/>
        </w:tabs>
        <w:ind w:left="-15" w:firstLine="0"/>
      </w:pPr>
      <w:r>
        <w:t>1</w:t>
      </w:r>
      <w:r>
        <w:tab/>
        <w:t>Citerne de stockage mobile</w:t>
      </w:r>
    </w:p>
    <w:p w:rsidR="00FF19CF" w:rsidRDefault="00E361F2">
      <w:pPr>
        <w:ind w:left="-5" w:right="4"/>
      </w:pPr>
      <w:r>
        <w:t>Les citernes de stockage et ses accessoires devront être calorifugés et équipés d'un système de réchauffage. Elles devront être munies d'indicateurs de niveau et de température.</w:t>
      </w:r>
    </w:p>
    <w:p w:rsidR="00FF19CF" w:rsidRDefault="00E361F2">
      <w:pPr>
        <w:ind w:left="-5" w:right="4"/>
      </w:pPr>
      <w:r>
        <w:t>Ces matériels doivent être conformes à la réglementation en vigueur sur le transport des matières dangereuses.</w:t>
      </w:r>
    </w:p>
    <w:p w:rsidR="00FF19CF" w:rsidRDefault="00E361F2">
      <w:pPr>
        <w:pStyle w:val="Titre2"/>
        <w:tabs>
          <w:tab w:val="center" w:pos="1568"/>
        </w:tabs>
        <w:ind w:left="-15" w:firstLine="0"/>
      </w:pPr>
      <w:r>
        <w:t>2</w:t>
      </w:r>
      <w:r>
        <w:tab/>
        <w:t>Répandeuses de liant</w:t>
      </w:r>
    </w:p>
    <w:p w:rsidR="00FF19CF" w:rsidRDefault="00E361F2">
      <w:pPr>
        <w:ind w:left="-5" w:right="4"/>
      </w:pPr>
      <w:r>
        <w:t>La rampe de répandage et ses accessoires devront être équipés d'un système de maintien en température.</w:t>
      </w:r>
    </w:p>
    <w:p w:rsidR="00FF19CF" w:rsidRDefault="00E361F2">
      <w:pPr>
        <w:ind w:left="-5" w:right="4"/>
      </w:pPr>
      <w:r>
        <w:t>Le débit de répandage devra être asservi à la vitesse d'avance du véhicule et aux variations de largeur de la rampe.</w:t>
      </w:r>
    </w:p>
    <w:p w:rsidR="00FF19CF" w:rsidRDefault="00E361F2">
      <w:pPr>
        <w:pStyle w:val="Titre2"/>
        <w:tabs>
          <w:tab w:val="center" w:pos="1181"/>
        </w:tabs>
        <w:ind w:left="-15" w:firstLine="0"/>
      </w:pPr>
      <w:r>
        <w:t>3</w:t>
      </w:r>
      <w:r>
        <w:tab/>
        <w:t>Gravillonneurs</w:t>
      </w:r>
    </w:p>
    <w:p w:rsidR="00FF19CF" w:rsidRDefault="00E361F2">
      <w:pPr>
        <w:ind w:left="-5" w:right="4"/>
      </w:pPr>
      <w:r>
        <w:t>Chaque chantier d'enduit superficiel devra comporter au moins trois camionneurs permettant la bonne répartition tant longitudinale que transversale.</w:t>
      </w:r>
    </w:p>
    <w:p w:rsidR="00FF19CF" w:rsidRDefault="00E361F2">
      <w:pPr>
        <w:ind w:left="-5" w:right="4"/>
      </w:pPr>
      <w:r>
        <w:t>Le dispositif gravillonneur devra être asservi à la vitesse du véhicule.</w:t>
      </w:r>
    </w:p>
    <w:p w:rsidR="00FF19CF" w:rsidRDefault="00E361F2">
      <w:pPr>
        <w:pStyle w:val="Titre2"/>
        <w:tabs>
          <w:tab w:val="center" w:pos="1102"/>
        </w:tabs>
        <w:ind w:left="-15" w:firstLine="0"/>
      </w:pPr>
      <w:r>
        <w:t>4</w:t>
      </w:r>
      <w:r>
        <w:tab/>
        <w:t>Compacteurs</w:t>
      </w:r>
    </w:p>
    <w:p w:rsidR="00FF19CF" w:rsidRDefault="00E361F2">
      <w:pPr>
        <w:ind w:left="-5" w:right="4"/>
      </w:pPr>
      <w:r>
        <w:t>Chaque chantier d'enduisage devra suivant l'importance du chantier compter un ou deux compacteurs en état de fonctionner.</w:t>
      </w:r>
    </w:p>
    <w:p w:rsidR="00FF19CF" w:rsidRDefault="00E361F2">
      <w:pPr>
        <w:ind w:left="-5" w:right="4"/>
      </w:pPr>
      <w:r>
        <w:t>Dans le cas d'un compacteur unique, le chantier devra impérativement être arrêté en cas de panne de compacteur.</w:t>
      </w:r>
    </w:p>
    <w:p w:rsidR="00FF19CF" w:rsidRDefault="00E361F2">
      <w:pPr>
        <w:pStyle w:val="Titre1"/>
        <w:tabs>
          <w:tab w:val="center" w:pos="3239"/>
        </w:tabs>
        <w:ind w:left="-15" w:firstLine="0"/>
      </w:pPr>
      <w:r>
        <w:t>ARTICLE 3</w:t>
      </w:r>
      <w:r>
        <w:rPr>
          <w:b w:val="0"/>
        </w:rPr>
        <w:t>.</w:t>
      </w:r>
      <w:r>
        <w:t>02</w:t>
      </w:r>
      <w:r>
        <w:tab/>
        <w:t>PREPARATION DU LIANT</w:t>
      </w:r>
    </w:p>
    <w:p w:rsidR="00FF19CF" w:rsidRDefault="00E361F2">
      <w:pPr>
        <w:ind w:left="-5" w:right="4"/>
      </w:pPr>
      <w:r>
        <w:t>Les spécifications du bitume fluxé, quant à la distillation fractionnée, conformément à l'article 5.4, du fascicule 24 du C.C.T.G. sont celles figurant dans l'annexe n° 2.</w:t>
      </w:r>
    </w:p>
    <w:p w:rsidR="00FF19CF" w:rsidRDefault="00E361F2">
      <w:pPr>
        <w:pStyle w:val="Titre1"/>
        <w:tabs>
          <w:tab w:val="center" w:pos="4032"/>
        </w:tabs>
        <w:ind w:left="-15" w:firstLine="0"/>
      </w:pPr>
      <w:r>
        <w:lastRenderedPageBreak/>
        <w:t>ARTICLE 3.03</w:t>
      </w:r>
      <w:r>
        <w:tab/>
        <w:t>STOCKAGE ET REPANDAGE DU LIANT</w:t>
      </w:r>
    </w:p>
    <w:p w:rsidR="00FF19CF" w:rsidRDefault="00E361F2">
      <w:pPr>
        <w:tabs>
          <w:tab w:val="center" w:pos="2582"/>
        </w:tabs>
        <w:ind w:left="-15" w:firstLine="0"/>
      </w:pPr>
      <w:r>
        <w:rPr>
          <w:b/>
        </w:rPr>
        <w:t>3.03.1</w:t>
      </w:r>
      <w:r>
        <w:rPr>
          <w:b/>
        </w:rPr>
        <w:tab/>
        <w:t>Stockage du liant sur chantier</w:t>
      </w:r>
    </w:p>
    <w:p w:rsidR="00FF19CF" w:rsidRDefault="00E361F2">
      <w:pPr>
        <w:ind w:left="-5" w:right="4"/>
      </w:pPr>
      <w:r>
        <w:t>La température maximale de stockage en centre mobile est de 70 à 80° C</w:t>
      </w:r>
    </w:p>
    <w:p w:rsidR="00FF19CF" w:rsidRDefault="00E361F2">
      <w:pPr>
        <w:pStyle w:val="Titre2"/>
        <w:tabs>
          <w:tab w:val="center" w:pos="1515"/>
        </w:tabs>
        <w:ind w:left="-15" w:firstLine="0"/>
      </w:pPr>
      <w:r>
        <w:t>3.03.2</w:t>
      </w:r>
      <w:r>
        <w:tab/>
        <w:t>Répandage</w:t>
      </w:r>
    </w:p>
    <w:p w:rsidR="00FF19CF" w:rsidRDefault="00E361F2">
      <w:pPr>
        <w:ind w:left="-5" w:right="4"/>
      </w:pPr>
      <w:r>
        <w:rPr>
          <w:b/>
        </w:rPr>
        <w:t>1</w:t>
      </w:r>
      <w:r>
        <w:rPr>
          <w:b/>
        </w:rPr>
        <w:tab/>
        <w:t xml:space="preserve">L'entrepreneur doit être en mesure de mettre en oeuvre au </w:t>
      </w:r>
      <w:r>
        <w:t>moins 30 T de bitume fluxé par jour, quelle que soit l'importance des chantiers et leur dissémination.</w:t>
      </w:r>
    </w:p>
    <w:p w:rsidR="00FF19CF" w:rsidRDefault="00E361F2">
      <w:pPr>
        <w:ind w:left="-5" w:right="4"/>
      </w:pPr>
      <w:r>
        <w:t>A cet effet, l'entrepreneur peut utiliser plus d'un centre mobile du fluxage et plus d'un atelier de répandage par centre mobile.</w:t>
      </w:r>
    </w:p>
    <w:p w:rsidR="00FF19CF" w:rsidRDefault="00E361F2">
      <w:pPr>
        <w:numPr>
          <w:ilvl w:val="0"/>
          <w:numId w:val="2"/>
        </w:numPr>
        <w:ind w:right="4"/>
      </w:pPr>
      <w:r>
        <w:rPr>
          <w:b/>
        </w:rPr>
        <w:t>La température maximale de réchauffage avant répandage</w:t>
      </w:r>
      <w:r w:rsidR="00BE2517">
        <w:rPr>
          <w:b/>
        </w:rPr>
        <w:t xml:space="preserve"> </w:t>
      </w:r>
      <w:r>
        <w:t>est de 160 ° C et la température minimale de répandage est 150° C.</w:t>
      </w:r>
    </w:p>
    <w:p w:rsidR="00FF19CF" w:rsidRDefault="00E361F2">
      <w:pPr>
        <w:numPr>
          <w:ilvl w:val="0"/>
          <w:numId w:val="2"/>
        </w:numPr>
        <w:ind w:right="4"/>
      </w:pPr>
      <w:r>
        <w:rPr>
          <w:b/>
        </w:rPr>
        <w:t xml:space="preserve">Les joints longitudinaux de deux couches successives des </w:t>
      </w:r>
      <w:r>
        <w:t>enduits bicouche ne seront pas superposés.</w:t>
      </w:r>
    </w:p>
    <w:p w:rsidR="00FF19CF" w:rsidRDefault="00E361F2">
      <w:pPr>
        <w:numPr>
          <w:ilvl w:val="0"/>
          <w:numId w:val="2"/>
        </w:numPr>
        <w:ind w:right="4"/>
      </w:pPr>
      <w:r>
        <w:rPr>
          <w:b/>
        </w:rPr>
        <w:t xml:space="preserve">Le chantier sera arrêté en cas de pluie ou de chaussée </w:t>
      </w:r>
      <w:r>
        <w:t>mouillée ou si la température ambiante est inférieure à 10 ° C.</w:t>
      </w:r>
    </w:p>
    <w:p w:rsidR="00FF19CF" w:rsidRDefault="00E361F2">
      <w:pPr>
        <w:pStyle w:val="Titre1"/>
        <w:tabs>
          <w:tab w:val="center" w:pos="3607"/>
        </w:tabs>
        <w:ind w:left="-15" w:firstLine="0"/>
      </w:pPr>
      <w:r>
        <w:t>ARTICLE 3.04</w:t>
      </w:r>
      <w:r>
        <w:tab/>
        <w:t>REPANDAGE DES GRANULATS</w:t>
      </w:r>
    </w:p>
    <w:p w:rsidR="00FF19CF" w:rsidRDefault="00E361F2">
      <w:pPr>
        <w:ind w:left="-5" w:right="4"/>
      </w:pPr>
      <w:r>
        <w:t>la distance entre la répandeuse de liant et les gravillonneurs ne devra pas dépasser 40 mètres même quand les conditions atmosphériques seront très favorables.</w:t>
      </w:r>
    </w:p>
    <w:p w:rsidR="00FF19CF" w:rsidRDefault="00E361F2">
      <w:pPr>
        <w:ind w:left="-5" w:right="4"/>
      </w:pPr>
      <w:r>
        <w:t>Les joints transversaux seront balayés manuellement.</w:t>
      </w:r>
    </w:p>
    <w:p w:rsidR="00FF19CF" w:rsidRDefault="00E361F2">
      <w:pPr>
        <w:pStyle w:val="Titre1"/>
        <w:tabs>
          <w:tab w:val="center" w:pos="2639"/>
        </w:tabs>
        <w:ind w:left="-15" w:firstLine="0"/>
      </w:pPr>
      <w:r>
        <w:t>ARTICLE 3.05</w:t>
      </w:r>
      <w:r>
        <w:tab/>
        <w:t>COMPACTAGE</w:t>
      </w:r>
    </w:p>
    <w:p w:rsidR="00FF19CF" w:rsidRDefault="00E361F2">
      <w:pPr>
        <w:ind w:left="-5" w:right="4"/>
      </w:pPr>
      <w:r>
        <w:t>Le nombre minimal de passages du compacteur en chaque point de la chaussée sera de cinq (5).</w:t>
      </w:r>
    </w:p>
    <w:p w:rsidR="00FF19CF" w:rsidRDefault="00E361F2">
      <w:pPr>
        <w:ind w:left="-5" w:right="4"/>
      </w:pPr>
      <w:r>
        <w:t>Le chantier sera obligatoirement arrêté en cas de panne du compacteur.</w:t>
      </w:r>
    </w:p>
    <w:p w:rsidR="00FF19CF" w:rsidRDefault="00E361F2">
      <w:pPr>
        <w:pStyle w:val="Titre1"/>
        <w:tabs>
          <w:tab w:val="center" w:pos="3375"/>
        </w:tabs>
        <w:ind w:left="-15" w:firstLine="0"/>
      </w:pPr>
      <w:r>
        <w:t>ARTICLE 3.06</w:t>
      </w:r>
      <w:r>
        <w:tab/>
        <w:t>CONTROLES D'EXECUTION</w:t>
      </w:r>
    </w:p>
    <w:p w:rsidR="00FF19CF" w:rsidRDefault="00E361F2">
      <w:pPr>
        <w:pStyle w:val="Titre2"/>
        <w:ind w:left="-5"/>
      </w:pPr>
      <w:r>
        <w:t>3.06.1 Contrôles en cours de travaux</w:t>
      </w:r>
    </w:p>
    <w:p w:rsidR="00FF19CF" w:rsidRDefault="00E361F2">
      <w:pPr>
        <w:ind w:left="-5" w:right="4"/>
      </w:pPr>
      <w:r>
        <w:t>L'entrepreneur tiendra une permanence à la disposition du Maître d'Oeuvre un journal de chantier sur lequel il aura consigné par journée effective de travail les indications décrites à l'article 11 du fascicule 26 du C.C.T.G.</w:t>
      </w:r>
    </w:p>
    <w:p w:rsidR="00FF19CF" w:rsidRDefault="00E361F2">
      <w:pPr>
        <w:ind w:left="-5" w:right="4"/>
      </w:pPr>
      <w:r>
        <w:t>Conditions climatiques avec indication des températures et au sol</w:t>
      </w:r>
    </w:p>
    <w:p w:rsidR="00FF19CF" w:rsidRDefault="00E361F2">
      <w:pPr>
        <w:ind w:left="-5" w:right="4"/>
      </w:pPr>
      <w:r>
        <w:lastRenderedPageBreak/>
        <w:t>Surfaces couvertes avec indication des P.K. d'extrémités de chacun des chantiers exécutés dans la journée.</w:t>
      </w:r>
    </w:p>
    <w:p w:rsidR="00FF19CF" w:rsidRDefault="00E361F2">
      <w:pPr>
        <w:pStyle w:val="Titre2"/>
        <w:tabs>
          <w:tab w:val="center" w:pos="1807"/>
        </w:tabs>
        <w:ind w:left="-15" w:firstLine="0"/>
      </w:pPr>
      <w:r>
        <w:t>3.06.2</w:t>
      </w:r>
      <w:r>
        <w:tab/>
        <w:t>Contrôles au sol</w:t>
      </w:r>
    </w:p>
    <w:p w:rsidR="00FF19CF" w:rsidRDefault="00E361F2">
      <w:pPr>
        <w:numPr>
          <w:ilvl w:val="0"/>
          <w:numId w:val="3"/>
        </w:numPr>
        <w:ind w:right="4" w:hanging="146"/>
      </w:pPr>
      <w:r>
        <w:t>Indépendamment de la vérification de l'autocontrôle exercé par l'entrepreneur, le Maître d'Œuvre se réserve d'effectuer les contrôles suivants, avec une fréquence de TROIS (3) par série d'essais :</w:t>
      </w:r>
    </w:p>
    <w:p w:rsidR="00FF19CF" w:rsidRDefault="00E361F2">
      <w:pPr>
        <w:numPr>
          <w:ilvl w:val="0"/>
          <w:numId w:val="3"/>
        </w:numPr>
        <w:ind w:right="4" w:hanging="146"/>
      </w:pPr>
      <w:r>
        <w:t>Dosage et régularité transversale en liant</w:t>
      </w:r>
    </w:p>
    <w:p w:rsidR="00FF19CF" w:rsidRDefault="00E361F2">
      <w:pPr>
        <w:numPr>
          <w:ilvl w:val="0"/>
          <w:numId w:val="3"/>
        </w:numPr>
        <w:ind w:right="4" w:hanging="146"/>
      </w:pPr>
      <w:r>
        <w:t>Dosage en granulats</w:t>
      </w:r>
    </w:p>
    <w:p w:rsidR="00FF19CF" w:rsidRDefault="00E361F2">
      <w:pPr>
        <w:pStyle w:val="Titre2"/>
        <w:ind w:left="-5"/>
      </w:pPr>
      <w:r>
        <w:t>3.06.3</w:t>
      </w:r>
      <w:r>
        <w:tab/>
        <w:t>Tolérances d'exécution LIANTS</w:t>
      </w:r>
    </w:p>
    <w:p w:rsidR="00FF19CF" w:rsidRDefault="00E361F2">
      <w:pPr>
        <w:ind w:left="-5" w:right="4"/>
      </w:pPr>
      <w:r>
        <w:t>Les tolérances admises sur les dosages moyens en liant sont de plus ou moins cinq pour cent (+ ou - 5 %) avec un minimum de 50 Gr/m².</w:t>
      </w:r>
    </w:p>
    <w:p w:rsidR="00FF19CF" w:rsidRDefault="00E361F2">
      <w:pPr>
        <w:ind w:left="-5" w:right="4"/>
      </w:pPr>
      <w:r>
        <w:t>Si le dosage moyen diffère de plus de 10 % du dosage fixé par l'entrepreneur, la réception des travaux correspondants sera refusée.</w:t>
      </w:r>
    </w:p>
    <w:p w:rsidR="00FF19CF" w:rsidRDefault="00E361F2">
      <w:pPr>
        <w:ind w:left="-5" w:right="4"/>
      </w:pPr>
      <w:r>
        <w:t>Par travaux correspondants, on entend la surface d'enduit exécutée dans la journée où le dosage moyen s'est révélé défectueux.</w:t>
      </w:r>
    </w:p>
    <w:p w:rsidR="00FF19CF" w:rsidRDefault="00E361F2">
      <w:pPr>
        <w:pStyle w:val="Titre2"/>
        <w:ind w:left="-5"/>
      </w:pPr>
      <w:r>
        <w:t>GRANULATS</w:t>
      </w:r>
    </w:p>
    <w:p w:rsidR="00FF19CF" w:rsidRDefault="00E361F2">
      <w:pPr>
        <w:ind w:left="-5" w:right="4"/>
      </w:pPr>
      <w:r>
        <w:t>Les tolérances admises pour les dosages moyens en granulats sont de plus ou moins dix pour cent (+ ou - 10 %) avec un maximum de 1 l/m_.</w:t>
      </w:r>
    </w:p>
    <w:p w:rsidR="00FF19CF" w:rsidRDefault="00E361F2">
      <w:pPr>
        <w:ind w:left="-5" w:right="4"/>
      </w:pPr>
      <w:r>
        <w:t>Si le dosage moyen diffère de plus de 20 % du dosage fixé par l'entrepreneur, la réception des travaux correspondants sera refusée. Par travaux correspondants, on entend la surface d'enduits exécutée dans la journée où le dosage moyen s'est révélé défectueux.</w:t>
      </w:r>
    </w:p>
    <w:p w:rsidR="00FF19CF" w:rsidRDefault="00E361F2">
      <w:pPr>
        <w:spacing w:after="258" w:line="259" w:lineRule="auto"/>
        <w:ind w:left="16"/>
        <w:jc w:val="center"/>
      </w:pPr>
      <w:r>
        <w:t>CHAPITRE IV</w:t>
      </w:r>
    </w:p>
    <w:p w:rsidR="00FB3651" w:rsidRDefault="00E361F2">
      <w:pPr>
        <w:pStyle w:val="Titre1"/>
        <w:ind w:left="14"/>
        <w:jc w:val="center"/>
      </w:pPr>
      <w:r>
        <w:t>MODE D'EXECUTION DES ENROBES</w:t>
      </w:r>
    </w:p>
    <w:p w:rsidR="00FF19CF" w:rsidRDefault="00E361F2">
      <w:pPr>
        <w:pStyle w:val="Titre1"/>
        <w:ind w:left="14"/>
        <w:jc w:val="center"/>
      </w:pPr>
      <w:bookmarkStart w:id="0" w:name="_GoBack"/>
      <w:bookmarkEnd w:id="0"/>
      <w:r>
        <w:t xml:space="preserve"> ARTICLE 4.01</w:t>
      </w:r>
      <w:r>
        <w:tab/>
        <w:t>FABRICATION DES ENROBES</w:t>
      </w:r>
    </w:p>
    <w:p w:rsidR="00FF19CF" w:rsidRDefault="00E361F2">
      <w:pPr>
        <w:pStyle w:val="Titre2"/>
        <w:ind w:left="-5"/>
      </w:pPr>
      <w:r>
        <w:t>4.01.1 Béton bitumineux 0/6 ou 0/10</w:t>
      </w:r>
    </w:p>
    <w:p w:rsidR="00FF19CF" w:rsidRDefault="00E361F2">
      <w:pPr>
        <w:ind w:left="-5" w:right="4"/>
      </w:pPr>
      <w:r>
        <w:t>La fabrication et la mise en œuvre seront conformes à la norme NFP 98-150.</w:t>
      </w:r>
    </w:p>
    <w:p w:rsidR="00FF19CF" w:rsidRDefault="00E361F2">
      <w:pPr>
        <w:ind w:left="-5" w:right="4"/>
      </w:pPr>
      <w:r>
        <w:t>Les enrobés seront fabriqués à partir d'une centrale de niveau 2(Deux) tel que défini à l’annexe A de la norme NFP 98.150, d'une capacité de 100 T/ heure minimum.</w:t>
      </w:r>
    </w:p>
    <w:p w:rsidR="00FF19CF" w:rsidRDefault="00E361F2">
      <w:pPr>
        <w:ind w:left="-5" w:right="4"/>
      </w:pPr>
      <w:r>
        <w:lastRenderedPageBreak/>
        <w:t>Un compte-rendu de réglage de la centrale datant de moins d'un an sera transmis au maître d'œuvre avant le démarrage des travaux.</w:t>
      </w:r>
    </w:p>
    <w:p w:rsidR="00FF19CF" w:rsidRDefault="00E361F2">
      <w:pPr>
        <w:pStyle w:val="Titre1"/>
        <w:tabs>
          <w:tab w:val="center" w:pos="3712"/>
        </w:tabs>
        <w:ind w:left="-15" w:firstLine="0"/>
      </w:pPr>
      <w:r>
        <w:t>ARTICLE 4.02</w:t>
      </w:r>
      <w:r>
        <w:tab/>
        <w:t>MISE EN OEUVRE DES ENROBES</w:t>
      </w:r>
    </w:p>
    <w:p w:rsidR="00FF19CF" w:rsidRDefault="00E361F2">
      <w:pPr>
        <w:pStyle w:val="Titre2"/>
        <w:ind w:left="-5"/>
      </w:pPr>
      <w:r>
        <w:t>4.02.1 - Reconnaissance du support</w:t>
      </w:r>
    </w:p>
    <w:p w:rsidR="00FF19CF" w:rsidRDefault="00E361F2">
      <w:pPr>
        <w:ind w:left="-5" w:right="4"/>
      </w:pPr>
      <w:r>
        <w:t>Préalablement à tout chantier, le Maître d'Œuvre et l'Entrepreneur reconnaissent le support.</w:t>
      </w:r>
    </w:p>
    <w:p w:rsidR="00FF19CF" w:rsidRDefault="00E361F2">
      <w:pPr>
        <w:ind w:left="-5" w:right="4"/>
      </w:pPr>
      <w:r>
        <w:t>L'inventaire des défectuosités ou discordances du support qui peuvent être constatées sont notifiées et traitées en conséquence.</w:t>
      </w:r>
    </w:p>
    <w:p w:rsidR="00FF19CF" w:rsidRDefault="00E361F2">
      <w:pPr>
        <w:ind w:left="-5" w:right="4"/>
      </w:pPr>
      <w:r>
        <w:t>Avant tout début des travaux d'enrobé, le Maître d'Œuvre lève le point d'arrêt d'acceptation du support.</w:t>
      </w:r>
    </w:p>
    <w:p w:rsidR="00FF19CF" w:rsidRDefault="00E361F2">
      <w:pPr>
        <w:pStyle w:val="Titre2"/>
        <w:ind w:left="-5"/>
      </w:pPr>
      <w:r>
        <w:t>4.02.2 - Balayage</w:t>
      </w:r>
    </w:p>
    <w:p w:rsidR="00FF19CF" w:rsidRDefault="00E361F2">
      <w:pPr>
        <w:ind w:left="-5" w:right="4"/>
      </w:pPr>
      <w:r>
        <w:t>Le balayage sera réalisé à l'aide d'une balayeuse mécanique équipée d'un balai métallique.</w:t>
      </w:r>
    </w:p>
    <w:p w:rsidR="00FF19CF" w:rsidRDefault="00E361F2">
      <w:pPr>
        <w:pStyle w:val="Titre2"/>
        <w:tabs>
          <w:tab w:val="center" w:pos="1429"/>
        </w:tabs>
        <w:ind w:left="-15" w:firstLine="0"/>
      </w:pPr>
      <w:r>
        <w:t>4.02.3</w:t>
      </w:r>
      <w:r>
        <w:tab/>
        <w:t>Transport</w:t>
      </w:r>
    </w:p>
    <w:p w:rsidR="00FF19CF" w:rsidRDefault="00E361F2">
      <w:pPr>
        <w:ind w:left="-5" w:right="4"/>
      </w:pPr>
      <w:r>
        <w:t>Le bâchage des camions est obligatoire et effectué au moyen de bâches imperméables couvrant la totalité du chargement.</w:t>
      </w:r>
    </w:p>
    <w:p w:rsidR="00FF19CF" w:rsidRDefault="00E361F2">
      <w:pPr>
        <w:pStyle w:val="Titre2"/>
        <w:tabs>
          <w:tab w:val="center" w:pos="2087"/>
          <w:tab w:val="center" w:pos="4149"/>
        </w:tabs>
        <w:ind w:left="-15" w:firstLine="0"/>
      </w:pPr>
      <w:r>
        <w:t>4.02.4</w:t>
      </w:r>
      <w:r>
        <w:tab/>
        <w:t>Reprofilage préalable</w:t>
      </w:r>
      <w:r>
        <w:tab/>
        <w:t>Déflachage</w:t>
      </w:r>
    </w:p>
    <w:p w:rsidR="00FF19CF" w:rsidRDefault="00E361F2">
      <w:pPr>
        <w:ind w:left="-5" w:right="4"/>
      </w:pPr>
      <w:r>
        <w:t>Sur les sections notifiées par le maître d'œuvre, le reprofilage sera exécuté au finisseur. Le déflachage sera autorisé à la niveleuse dans le cas où le dévers sera supérieur à 7 %.</w:t>
      </w:r>
    </w:p>
    <w:p w:rsidR="00FF19CF" w:rsidRDefault="00E361F2">
      <w:pPr>
        <w:pStyle w:val="Titre2"/>
        <w:tabs>
          <w:tab w:val="center" w:pos="2111"/>
        </w:tabs>
        <w:ind w:left="-15" w:firstLine="0"/>
      </w:pPr>
      <w:r>
        <w:t>4.02.5</w:t>
      </w:r>
      <w:r>
        <w:tab/>
        <w:t>Couche d'accrochage</w:t>
      </w:r>
    </w:p>
    <w:p w:rsidR="00FF19CF" w:rsidRDefault="00E361F2">
      <w:pPr>
        <w:ind w:left="-5" w:right="4"/>
      </w:pPr>
      <w:r>
        <w:t>Une couche d'accrochage à l'émulsion de bitume au dosage de 400 g/ m² de bitume résiduel sera systématiquement répandue sur la chaussée avant la mise en œuvre des enrobés ainsi qu'avant le reprofilage éventuel.</w:t>
      </w:r>
    </w:p>
    <w:p w:rsidR="00FF19CF" w:rsidRDefault="00E361F2">
      <w:pPr>
        <w:ind w:left="-5" w:right="4"/>
      </w:pPr>
      <w:r>
        <w:t>Elle sera réalisée par l'entrepreneur, obligatoirement à la rampe.</w:t>
      </w:r>
    </w:p>
    <w:p w:rsidR="00FF19CF" w:rsidRDefault="00E361F2">
      <w:pPr>
        <w:ind w:left="-5" w:right="4"/>
      </w:pPr>
      <w:r>
        <w:t>Toute circulation autre que celle des camions approvisio</w:t>
      </w:r>
      <w:r w:rsidR="00BE2517">
        <w:t>nnant le finisseur est interdit</w:t>
      </w:r>
      <w:r>
        <w:t xml:space="preserve"> sur la couche d'accrochage.</w:t>
      </w:r>
    </w:p>
    <w:p w:rsidR="00FF19CF" w:rsidRDefault="00E361F2">
      <w:pPr>
        <w:pStyle w:val="Titre1"/>
        <w:tabs>
          <w:tab w:val="center" w:pos="2639"/>
        </w:tabs>
        <w:ind w:left="-15" w:firstLine="0"/>
      </w:pPr>
      <w:r>
        <w:t>ARTICLE 4.03</w:t>
      </w:r>
      <w:r>
        <w:tab/>
        <w:t>COMPACTAGE</w:t>
      </w:r>
    </w:p>
    <w:p w:rsidR="00FF19CF" w:rsidRDefault="00E361F2">
      <w:pPr>
        <w:ind w:left="-5"/>
      </w:pPr>
      <w:r>
        <w:rPr>
          <w:b/>
        </w:rPr>
        <w:t>4.03.1 - Définition de l'atelier</w:t>
      </w:r>
    </w:p>
    <w:p w:rsidR="00FF19CF" w:rsidRDefault="00E361F2">
      <w:pPr>
        <w:ind w:left="-5" w:right="4"/>
      </w:pPr>
      <w:r>
        <w:t>L'Entrepreneur propose la composition de l'atelier de compactage.</w:t>
      </w:r>
    </w:p>
    <w:p w:rsidR="00FF19CF" w:rsidRDefault="00E361F2">
      <w:pPr>
        <w:pStyle w:val="Titre2"/>
        <w:ind w:left="-5"/>
      </w:pPr>
      <w:r>
        <w:lastRenderedPageBreak/>
        <w:t>4.03.2 - Modalités de compactage</w:t>
      </w:r>
    </w:p>
    <w:p w:rsidR="00FF19CF" w:rsidRDefault="00E361F2">
      <w:pPr>
        <w:ind w:left="-5" w:right="4"/>
      </w:pPr>
      <w:r>
        <w:t>En fonction de la nature des enrobés, de l'épaisseur de mise en œuvre et de leur utilisation, la composition de l'atelier, la mise au point des modalités de compactage sont définies par l'entreprise dans le cadre du PAQ.</w:t>
      </w:r>
    </w:p>
    <w:p w:rsidR="00FF19CF" w:rsidRDefault="00E361F2">
      <w:pPr>
        <w:ind w:left="-5" w:right="4"/>
      </w:pPr>
      <w:r>
        <w:t>L'acceptation par le Maître d'Œuvre de l'atelier et des modalités d'utilisation constitue un point d'arrêt.</w:t>
      </w:r>
    </w:p>
    <w:p w:rsidR="00FF19CF" w:rsidRDefault="00E361F2">
      <w:pPr>
        <w:spacing w:after="256" w:line="259" w:lineRule="auto"/>
        <w:ind w:left="1" w:firstLine="0"/>
        <w:jc w:val="center"/>
      </w:pPr>
      <w:r>
        <w:rPr>
          <w:b/>
        </w:rPr>
        <w:t>CHAPITRE VI</w:t>
      </w:r>
    </w:p>
    <w:p w:rsidR="00FF19CF" w:rsidRDefault="00E361F2">
      <w:pPr>
        <w:pStyle w:val="Titre1"/>
        <w:spacing w:after="259" w:line="259" w:lineRule="auto"/>
        <w:ind w:left="14" w:right="3"/>
        <w:jc w:val="center"/>
      </w:pPr>
      <w:r>
        <w:t>SIGNALISATION DES CHANTIERS</w:t>
      </w:r>
    </w:p>
    <w:p w:rsidR="00FF19CF" w:rsidRDefault="00E361F2">
      <w:pPr>
        <w:ind w:left="-5" w:right="395"/>
      </w:pPr>
      <w:r>
        <w:t>La signalisation des chantiers dans les zones intéressant la circulation sur la voie publique sera réalisée par l'entrepreneur pendant les travaux ainsi que pendant la mise en sécurité de la voie et sous le contrôle du service. La signalisation des chantiers dans les zones intéressant la circulation sur la voie publique sera réalisée par l'entrepreneur pendant les travaux ainsi que pendant la mise en sécurité de la voie et sous le contrôle du service.</w:t>
      </w:r>
    </w:p>
    <w:p w:rsidR="00FF19CF" w:rsidRDefault="00E361F2">
      <w:pPr>
        <w:ind w:left="-5" w:right="4"/>
      </w:pPr>
      <w:r>
        <w:t>Elle devra être conforme à :</w:t>
      </w:r>
    </w:p>
    <w:p w:rsidR="00FF19CF" w:rsidRDefault="00E361F2">
      <w:pPr>
        <w:ind w:left="-5" w:right="4"/>
      </w:pPr>
      <w:r>
        <w:t>L'instruction interministérielle sur la signalisation routière Livre 1 8ème partie signalisation temporaire. L'entrepreneur est tenu d'adapter cette signalisation dès que la situation du chantier se révèle différente de celle prévue à l'origine.</w:t>
      </w:r>
    </w:p>
    <w:p w:rsidR="00FF19CF" w:rsidRDefault="00E361F2">
      <w:pPr>
        <w:ind w:left="-5" w:right="4"/>
      </w:pPr>
      <w:r>
        <w:t>L'entrepreneur devra soumettre à l'agrément du Maître d'œuvre les moyens en personnel, véhicules et matériels de signalisation qu'il compte utiliser.</w:t>
      </w:r>
    </w:p>
    <w:p w:rsidR="00FF19CF" w:rsidRDefault="00E361F2">
      <w:pPr>
        <w:ind w:left="-5" w:right="4"/>
      </w:pPr>
      <w:r>
        <w:t xml:space="preserve">Avant le début des travaux et pendant tout le cours de </w:t>
      </w:r>
      <w:r w:rsidR="00BE2517">
        <w:t>ceux-ci</w:t>
      </w:r>
      <w:r>
        <w:t>, l'entrepreneur devra faire connaître nominativement au maître d'œuvre le responsable de l'exploitation et de la signalisation du ou des chantiers, qui devra pouvoir être contacté de jour comme de nuit.</w:t>
      </w:r>
    </w:p>
    <w:p w:rsidR="00FF19CF" w:rsidRDefault="00E361F2">
      <w:pPr>
        <w:ind w:left="-5" w:right="4"/>
      </w:pPr>
      <w:r>
        <w:t>L'entrepreneur est tenu de maintenir la signalisation sur toute section abandonnée avant l'achèvement des travaux, les dépenses correspondantes ne seront remboursées à l'entrepreneur que si l'abandon n'est pas prévu dans le programme d'exécution des travaux et est la conséquence d'une décision du maître d'œuvre ou résulte du cas de force majeure.</w:t>
      </w:r>
    </w:p>
    <w:p w:rsidR="00FF19CF" w:rsidRDefault="00E361F2">
      <w:pPr>
        <w:ind w:left="-5" w:right="4"/>
      </w:pPr>
      <w:r>
        <w:t>Le personnel de l'entrepreneur travaillant sur les parties du chantier sous circulation devra être doté d'un baudrier, ou d'un gilet rétro réfléchissant.</w:t>
      </w:r>
    </w:p>
    <w:p w:rsidR="00FF19CF" w:rsidRDefault="00E361F2">
      <w:pPr>
        <w:ind w:left="-5" w:right="4"/>
      </w:pPr>
      <w:r>
        <w:t>Les parties latérales ou saillantes des véhicules opérant sur la chaussée à l'intérieur du chantier seront marquées de bandes rouges et blanches rétro réfléchissantes.</w:t>
      </w:r>
    </w:p>
    <w:p w:rsidR="00FF19CF" w:rsidRDefault="00E361F2">
      <w:pPr>
        <w:ind w:left="-5" w:right="4"/>
      </w:pPr>
      <w:r>
        <w:t xml:space="preserve">Les véhicules et engins du chantier progressant lentement ou stationnant fréquemment sur la chaussée devront être pourvus de feux spéciaux prévus à </w:t>
      </w:r>
      <w:r>
        <w:lastRenderedPageBreak/>
        <w:t>l'article 122 paragraphe c : matériels mobiles alinéa 2</w:t>
      </w:r>
      <w:r>
        <w:tab/>
        <w:t>feux spéciaux</w:t>
      </w:r>
      <w:r>
        <w:tab/>
        <w:t>de l'Instruction Interministérielle sur la signalisation routière</w:t>
      </w:r>
      <w:r>
        <w:tab/>
        <w:t>Livre I</w:t>
      </w:r>
      <w:r>
        <w:tab/>
        <w:t>8ème partie : signalisation temporaire.</w:t>
      </w:r>
    </w:p>
    <w:p w:rsidR="00FF19CF" w:rsidRDefault="00E361F2">
      <w:pPr>
        <w:ind w:left="-5" w:right="4"/>
      </w:pPr>
      <w:r>
        <w:t>En cas de visibilité réduite, un ou plusieurs agents munis d'un fanion K1 avertira (ront) les usagers de la présence à proximité, d'obstacles fixes ou mobiles sur la chaussée ou ses dépendances.</w:t>
      </w:r>
    </w:p>
    <w:p w:rsidR="00FF19CF" w:rsidRDefault="00E361F2">
      <w:pPr>
        <w:ind w:left="-5" w:right="4"/>
      </w:pPr>
      <w:r>
        <w:t>En cas de visibilité réduite, un ou plusieurs agents munis d'un fanion K1 avertira (ront) les usagers de la présence à proximité, d'obstacles fixes ou mobiles sur la chaussée ou ses dépendances.</w:t>
      </w:r>
    </w:p>
    <w:sectPr w:rsidR="00FF19CF">
      <w:pgSz w:w="11906" w:h="16838"/>
      <w:pgMar w:top="1386" w:right="1991" w:bottom="1483" w:left="14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C4" w:rsidRDefault="003F72C4" w:rsidP="004045F0">
      <w:pPr>
        <w:spacing w:after="0" w:line="240" w:lineRule="auto"/>
      </w:pPr>
      <w:r>
        <w:separator/>
      </w:r>
    </w:p>
  </w:endnote>
  <w:endnote w:type="continuationSeparator" w:id="0">
    <w:p w:rsidR="003F72C4" w:rsidRDefault="003F72C4" w:rsidP="0040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C4" w:rsidRDefault="003F72C4" w:rsidP="004045F0">
      <w:pPr>
        <w:spacing w:after="0" w:line="240" w:lineRule="auto"/>
      </w:pPr>
      <w:r>
        <w:separator/>
      </w:r>
    </w:p>
  </w:footnote>
  <w:footnote w:type="continuationSeparator" w:id="0">
    <w:p w:rsidR="003F72C4" w:rsidRDefault="003F72C4" w:rsidP="00404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07EF6"/>
    <w:multiLevelType w:val="hybridMultilevel"/>
    <w:tmpl w:val="E6BA34FA"/>
    <w:lvl w:ilvl="0" w:tplc="BD4EF54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FA1A2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621BB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04F2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AAE31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B87C7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3A95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A4A21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4216B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B06E16"/>
    <w:multiLevelType w:val="hybridMultilevel"/>
    <w:tmpl w:val="2AC053AC"/>
    <w:lvl w:ilvl="0" w:tplc="7D443A7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5C6AE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B4AF8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F046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74689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54800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4E7D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FE9C8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0E0C8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7F36D4"/>
    <w:multiLevelType w:val="hybridMultilevel"/>
    <w:tmpl w:val="62607958"/>
    <w:lvl w:ilvl="0" w:tplc="C8B435FC">
      <w:start w:val="2"/>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B76E99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816AE1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9424E7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D52BB3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74AAF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B4AFCD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400888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C34ED8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CF"/>
    <w:rsid w:val="003F72C4"/>
    <w:rsid w:val="004045F0"/>
    <w:rsid w:val="005D1A65"/>
    <w:rsid w:val="009B6207"/>
    <w:rsid w:val="00A908B6"/>
    <w:rsid w:val="00BE2517"/>
    <w:rsid w:val="00E361F2"/>
    <w:rsid w:val="00FB3651"/>
    <w:rsid w:val="00FF1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40BD5-2334-4B54-ABAC-B3232181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249" w:lineRule="auto"/>
      <w:ind w:left="10" w:hanging="10"/>
    </w:pPr>
    <w:rPr>
      <w:rFonts w:ascii="Arial" w:eastAsia="Arial" w:hAnsi="Arial" w:cs="Arial"/>
      <w:color w:val="000000"/>
      <w:sz w:val="24"/>
    </w:rPr>
  </w:style>
  <w:style w:type="paragraph" w:styleId="Titre1">
    <w:name w:val="heading 1"/>
    <w:next w:val="Normal"/>
    <w:link w:val="Titre1Car"/>
    <w:uiPriority w:val="9"/>
    <w:unhideWhenUsed/>
    <w:qFormat/>
    <w:pPr>
      <w:keepNext/>
      <w:keepLines/>
      <w:spacing w:after="270" w:line="249" w:lineRule="auto"/>
      <w:ind w:left="10" w:hanging="10"/>
      <w:outlineLvl w:val="0"/>
    </w:pPr>
    <w:rPr>
      <w:rFonts w:ascii="Arial" w:eastAsia="Arial" w:hAnsi="Arial" w:cs="Arial"/>
      <w:b/>
      <w:color w:val="000000"/>
      <w:sz w:val="24"/>
      <w:u w:val="single" w:color="000000"/>
    </w:rPr>
  </w:style>
  <w:style w:type="paragraph" w:styleId="Titre2">
    <w:name w:val="heading 2"/>
    <w:next w:val="Normal"/>
    <w:link w:val="Titre2Car"/>
    <w:uiPriority w:val="9"/>
    <w:unhideWhenUsed/>
    <w:qFormat/>
    <w:pPr>
      <w:keepNext/>
      <w:keepLines/>
      <w:spacing w:after="270" w:line="249" w:lineRule="auto"/>
      <w:ind w:left="10" w:hanging="10"/>
      <w:outlineLvl w:val="1"/>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4"/>
    </w:rPr>
  </w:style>
  <w:style w:type="character" w:customStyle="1" w:styleId="Titre1Car">
    <w:name w:val="Titre 1 Car"/>
    <w:link w:val="Titre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4045F0"/>
    <w:pPr>
      <w:tabs>
        <w:tab w:val="center" w:pos="4536"/>
        <w:tab w:val="right" w:pos="9072"/>
      </w:tabs>
      <w:spacing w:after="0" w:line="240" w:lineRule="auto"/>
    </w:pPr>
  </w:style>
  <w:style w:type="character" w:customStyle="1" w:styleId="En-tteCar">
    <w:name w:val="En-tête Car"/>
    <w:basedOn w:val="Policepardfaut"/>
    <w:link w:val="En-tte"/>
    <w:uiPriority w:val="99"/>
    <w:rsid w:val="004045F0"/>
    <w:rPr>
      <w:rFonts w:ascii="Arial" w:eastAsia="Arial" w:hAnsi="Arial" w:cs="Arial"/>
      <w:color w:val="000000"/>
      <w:sz w:val="24"/>
    </w:rPr>
  </w:style>
  <w:style w:type="paragraph" w:styleId="Pieddepage">
    <w:name w:val="footer"/>
    <w:basedOn w:val="Normal"/>
    <w:link w:val="PieddepageCar"/>
    <w:uiPriority w:val="99"/>
    <w:unhideWhenUsed/>
    <w:rsid w:val="004045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5F0"/>
    <w:rPr>
      <w:rFonts w:ascii="Arial" w:eastAsia="Arial" w:hAnsi="Arial" w:cs="Arial"/>
      <w:color w:val="000000"/>
      <w:sz w:val="24"/>
    </w:rPr>
  </w:style>
  <w:style w:type="paragraph" w:styleId="Textedebulles">
    <w:name w:val="Balloon Text"/>
    <w:basedOn w:val="Normal"/>
    <w:link w:val="TextedebullesCar"/>
    <w:uiPriority w:val="99"/>
    <w:semiHidden/>
    <w:unhideWhenUsed/>
    <w:rsid w:val="009B62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620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2316</Words>
  <Characters>12744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Utilisateur</cp:lastModifiedBy>
  <cp:revision>5</cp:revision>
  <cp:lastPrinted>2018-04-20T12:48:00Z</cp:lastPrinted>
  <dcterms:created xsi:type="dcterms:W3CDTF">2018-04-20T12:47:00Z</dcterms:created>
  <dcterms:modified xsi:type="dcterms:W3CDTF">2018-04-20T13:27:00Z</dcterms:modified>
</cp:coreProperties>
</file>