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04A" w:rsidRDefault="00BD56A3" w:rsidP="002353E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AC704A" w:rsidTr="00AC704A">
        <w:trPr>
          <w:trHeight w:val="397"/>
        </w:trPr>
        <w:tc>
          <w:tcPr>
            <w:tcW w:w="9212" w:type="dxa"/>
          </w:tcPr>
          <w:p w:rsidR="00AC704A" w:rsidRDefault="00AC704A" w:rsidP="00C446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8"/>
                <w:szCs w:val="28"/>
              </w:rPr>
              <w:t>ANNEXE 2 au CCTP</w:t>
            </w:r>
            <w:bookmarkEnd w:id="0"/>
          </w:p>
        </w:tc>
      </w:tr>
    </w:tbl>
    <w:p w:rsidR="00BD56A3" w:rsidRDefault="00BD56A3" w:rsidP="00C446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BD56A3" w:rsidRDefault="00BD56A3" w:rsidP="00C446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Spécifications techniques concernant</w:t>
      </w:r>
      <w:r w:rsidR="00C446CD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le dispositif de renforcement de signalisation des autocars</w:t>
      </w:r>
    </w:p>
    <w:p w:rsidR="00BD56A3" w:rsidRDefault="00BD56A3" w:rsidP="00C446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Marquages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rétroréfléchissants</w:t>
      </w:r>
      <w:proofErr w:type="spellEnd"/>
    </w:p>
    <w:p w:rsidR="00AC704A" w:rsidRDefault="00AC704A" w:rsidP="00BD56A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2353EB" w:rsidRDefault="002353EB" w:rsidP="00C446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2BC1">
        <w:rPr>
          <w:rFonts w:ascii="Arial" w:hAnsi="Arial" w:cs="Arial"/>
          <w:sz w:val="22"/>
          <w:szCs w:val="22"/>
        </w:rPr>
        <w:t xml:space="preserve">Les produits relatifs au marquage </w:t>
      </w:r>
      <w:proofErr w:type="spellStart"/>
      <w:r w:rsidRPr="00942BC1">
        <w:rPr>
          <w:rFonts w:ascii="Arial" w:hAnsi="Arial" w:cs="Arial"/>
          <w:sz w:val="22"/>
          <w:szCs w:val="22"/>
        </w:rPr>
        <w:t>rétroréfléchissant</w:t>
      </w:r>
      <w:proofErr w:type="spellEnd"/>
      <w:r w:rsidRPr="00942BC1">
        <w:rPr>
          <w:rFonts w:ascii="Arial" w:hAnsi="Arial" w:cs="Arial"/>
          <w:sz w:val="22"/>
          <w:szCs w:val="22"/>
        </w:rPr>
        <w:t xml:space="preserve"> des autocars doivent être conformes au</w:t>
      </w:r>
      <w:r w:rsidR="00C446CD">
        <w:rPr>
          <w:rFonts w:ascii="Arial" w:hAnsi="Arial" w:cs="Arial"/>
          <w:sz w:val="22"/>
          <w:szCs w:val="22"/>
        </w:rPr>
        <w:t xml:space="preserve"> </w:t>
      </w:r>
      <w:r w:rsidRPr="00942BC1">
        <w:rPr>
          <w:rFonts w:ascii="Arial" w:hAnsi="Arial" w:cs="Arial"/>
          <w:sz w:val="22"/>
          <w:szCs w:val="22"/>
        </w:rPr>
        <w:t>règlement n° 104 annexé à l'accord de GENEVE du 20 mars 1958 concernant les</w:t>
      </w:r>
      <w:r w:rsidR="00C446CD">
        <w:rPr>
          <w:rFonts w:ascii="Arial" w:hAnsi="Arial" w:cs="Arial"/>
          <w:sz w:val="22"/>
          <w:szCs w:val="22"/>
        </w:rPr>
        <w:t xml:space="preserve"> </w:t>
      </w:r>
      <w:r w:rsidRPr="00942BC1">
        <w:rPr>
          <w:rFonts w:ascii="Arial" w:hAnsi="Arial" w:cs="Arial"/>
          <w:sz w:val="22"/>
          <w:szCs w:val="22"/>
        </w:rPr>
        <w:t xml:space="preserve">prescriptions uniformes relatives à l'homologation des marquages </w:t>
      </w:r>
      <w:proofErr w:type="spellStart"/>
      <w:r w:rsidRPr="00942BC1">
        <w:rPr>
          <w:rFonts w:ascii="Arial" w:hAnsi="Arial" w:cs="Arial"/>
          <w:sz w:val="22"/>
          <w:szCs w:val="22"/>
        </w:rPr>
        <w:t>rétroréfléchissants</w:t>
      </w:r>
      <w:proofErr w:type="spellEnd"/>
      <w:r w:rsidRPr="00942BC1">
        <w:rPr>
          <w:rFonts w:ascii="Arial" w:hAnsi="Arial" w:cs="Arial"/>
          <w:sz w:val="22"/>
          <w:szCs w:val="22"/>
        </w:rPr>
        <w:t xml:space="preserve"> pour</w:t>
      </w:r>
      <w:r w:rsidR="00C446CD">
        <w:rPr>
          <w:rFonts w:ascii="Arial" w:hAnsi="Arial" w:cs="Arial"/>
          <w:sz w:val="22"/>
          <w:szCs w:val="22"/>
        </w:rPr>
        <w:t xml:space="preserve"> </w:t>
      </w:r>
      <w:r w:rsidRPr="00942BC1">
        <w:rPr>
          <w:rFonts w:ascii="Arial" w:hAnsi="Arial" w:cs="Arial"/>
          <w:sz w:val="22"/>
          <w:szCs w:val="22"/>
        </w:rPr>
        <w:t>les véhicules longs et lourds et leurs remorques ainsi qu'à l'arrêté du 10 mars 1998 du</w:t>
      </w:r>
      <w:r w:rsidR="00C446CD">
        <w:rPr>
          <w:rFonts w:ascii="Arial" w:hAnsi="Arial" w:cs="Arial"/>
          <w:sz w:val="22"/>
          <w:szCs w:val="22"/>
        </w:rPr>
        <w:t xml:space="preserve"> </w:t>
      </w:r>
      <w:r w:rsidRPr="00942BC1">
        <w:rPr>
          <w:rFonts w:ascii="Arial" w:hAnsi="Arial" w:cs="Arial"/>
          <w:sz w:val="22"/>
          <w:szCs w:val="22"/>
        </w:rPr>
        <w:t>Ministère de l'Equipement, des Transports et du Logement validant cette réglementation</w:t>
      </w:r>
      <w:r w:rsidR="00C446CD">
        <w:rPr>
          <w:rFonts w:ascii="Arial" w:hAnsi="Arial" w:cs="Arial"/>
          <w:sz w:val="22"/>
          <w:szCs w:val="22"/>
        </w:rPr>
        <w:t xml:space="preserve"> </w:t>
      </w:r>
      <w:r w:rsidRPr="00942BC1">
        <w:rPr>
          <w:rFonts w:ascii="Arial" w:hAnsi="Arial" w:cs="Arial"/>
          <w:sz w:val="22"/>
          <w:szCs w:val="22"/>
        </w:rPr>
        <w:t>européenne et être à ce titre homologués.</w:t>
      </w:r>
    </w:p>
    <w:p w:rsidR="00942BC1" w:rsidRPr="00942BC1" w:rsidRDefault="00942BC1" w:rsidP="00C446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353EB" w:rsidRPr="00942BC1" w:rsidRDefault="002353EB" w:rsidP="00C446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2BC1">
        <w:rPr>
          <w:rFonts w:ascii="Arial" w:hAnsi="Arial" w:cs="Arial"/>
          <w:sz w:val="22"/>
          <w:szCs w:val="22"/>
        </w:rPr>
        <w:t xml:space="preserve">Les modalités de positionnement des bandes </w:t>
      </w:r>
      <w:proofErr w:type="spellStart"/>
      <w:r w:rsidRPr="00942BC1">
        <w:rPr>
          <w:rFonts w:ascii="Arial" w:hAnsi="Arial" w:cs="Arial"/>
          <w:sz w:val="22"/>
          <w:szCs w:val="22"/>
        </w:rPr>
        <w:t>rétroréfléchissantes</w:t>
      </w:r>
      <w:proofErr w:type="spellEnd"/>
      <w:r w:rsidRPr="00942BC1">
        <w:rPr>
          <w:rFonts w:ascii="Arial" w:hAnsi="Arial" w:cs="Arial"/>
          <w:sz w:val="22"/>
          <w:szCs w:val="22"/>
        </w:rPr>
        <w:t xml:space="preserve"> doivent également être</w:t>
      </w:r>
      <w:r w:rsidR="00C446CD">
        <w:rPr>
          <w:rFonts w:ascii="Arial" w:hAnsi="Arial" w:cs="Arial"/>
          <w:sz w:val="22"/>
          <w:szCs w:val="22"/>
        </w:rPr>
        <w:t xml:space="preserve"> </w:t>
      </w:r>
      <w:r w:rsidRPr="00942BC1">
        <w:rPr>
          <w:rFonts w:ascii="Arial" w:hAnsi="Arial" w:cs="Arial"/>
          <w:sz w:val="22"/>
          <w:szCs w:val="22"/>
        </w:rPr>
        <w:t>conformes à l'arrêté du 1er octobre 1998 modifiant l'arrêté du 16 juillet 1954 relatif à</w:t>
      </w:r>
      <w:r w:rsidR="00C446CD">
        <w:rPr>
          <w:rFonts w:ascii="Arial" w:hAnsi="Arial" w:cs="Arial"/>
          <w:sz w:val="22"/>
          <w:szCs w:val="22"/>
        </w:rPr>
        <w:t xml:space="preserve"> </w:t>
      </w:r>
      <w:r w:rsidRPr="00942BC1">
        <w:rPr>
          <w:rFonts w:ascii="Arial" w:hAnsi="Arial" w:cs="Arial"/>
          <w:sz w:val="22"/>
          <w:szCs w:val="22"/>
        </w:rPr>
        <w:t>l'é</w:t>
      </w:r>
      <w:r w:rsidR="00CD323C">
        <w:rPr>
          <w:rFonts w:ascii="Arial" w:hAnsi="Arial" w:cs="Arial"/>
          <w:sz w:val="22"/>
          <w:szCs w:val="22"/>
        </w:rPr>
        <w:t>clairage et à la signalisation.</w:t>
      </w:r>
    </w:p>
    <w:p w:rsidR="002353EB" w:rsidRDefault="002353EB" w:rsidP="00C446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353EB" w:rsidRPr="002353EB" w:rsidRDefault="002353EB" w:rsidP="002353E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353EB" w:rsidRDefault="002353EB" w:rsidP="00C446C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42BC1">
        <w:rPr>
          <w:rFonts w:ascii="Arial" w:hAnsi="Arial" w:cs="Arial"/>
          <w:b/>
          <w:bCs/>
          <w:sz w:val="22"/>
          <w:szCs w:val="22"/>
          <w:u w:val="single"/>
        </w:rPr>
        <w:t>1/ Schéma d'installation</w:t>
      </w:r>
    </w:p>
    <w:p w:rsidR="00942BC1" w:rsidRPr="00942BC1" w:rsidRDefault="00942BC1" w:rsidP="00C446C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2353EB" w:rsidRDefault="002353EB" w:rsidP="00C446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</w:t>
      </w:r>
      <w:r w:rsidRPr="00942BC1">
        <w:rPr>
          <w:rFonts w:ascii="Arial" w:hAnsi="Arial" w:cs="Arial"/>
          <w:b/>
          <w:sz w:val="22"/>
          <w:szCs w:val="22"/>
        </w:rPr>
        <w:t>Configuration retenue</w:t>
      </w:r>
      <w:r>
        <w:rPr>
          <w:rFonts w:ascii="Arial" w:hAnsi="Arial" w:cs="Arial"/>
          <w:sz w:val="22"/>
          <w:szCs w:val="22"/>
        </w:rPr>
        <w:t xml:space="preserve"> : 1 contour à l'arrière – 1 bande latérale sur chaque côté.</w:t>
      </w:r>
    </w:p>
    <w:p w:rsidR="00942BC1" w:rsidRDefault="00942BC1" w:rsidP="00C446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353EB" w:rsidRDefault="00C446CD" w:rsidP="00C446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353EB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800600" cy="18002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BC1" w:rsidRDefault="00942BC1" w:rsidP="00C446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42BC1" w:rsidRDefault="00942BC1" w:rsidP="00C446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353EB" w:rsidRDefault="002353EB" w:rsidP="00C446CD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Contour arrière :</w:t>
      </w:r>
    </w:p>
    <w:p w:rsidR="00942BC1" w:rsidRDefault="00942BC1" w:rsidP="00C446C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53EB" w:rsidRDefault="002353EB" w:rsidP="00C446C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Application sur au moins 80% de la largeur et de la hauteur du véhicule.</w:t>
      </w:r>
    </w:p>
    <w:p w:rsidR="002353EB" w:rsidRDefault="002353EB" w:rsidP="00C446C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 xml:space="preserve">Retrait maximum de </w:t>
      </w:r>
      <w:smartTag w:uri="urn:schemas-microsoft-com:office:smarttags" w:element="metricconverter">
        <w:smartTagPr>
          <w:attr w:name="ProductID" w:val="0,20 m"/>
        </w:smartTagPr>
        <w:r>
          <w:rPr>
            <w:rFonts w:ascii="Arial" w:hAnsi="Arial" w:cs="Arial"/>
            <w:sz w:val="22"/>
            <w:szCs w:val="22"/>
          </w:rPr>
          <w:t>0,20 m</w:t>
        </w:r>
      </w:smartTag>
      <w:r>
        <w:rPr>
          <w:rFonts w:ascii="Arial" w:hAnsi="Arial" w:cs="Arial"/>
          <w:sz w:val="22"/>
          <w:szCs w:val="22"/>
        </w:rPr>
        <w:t xml:space="preserve"> par rapport aux bords extérieurs.</w:t>
      </w:r>
    </w:p>
    <w:p w:rsidR="00942BC1" w:rsidRDefault="00942BC1" w:rsidP="00C446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353EB" w:rsidRDefault="002353EB" w:rsidP="00C446CD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Ligne latérale :</w:t>
      </w:r>
    </w:p>
    <w:p w:rsidR="00942BC1" w:rsidRDefault="00942BC1" w:rsidP="00C446C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353EB" w:rsidRDefault="002353EB" w:rsidP="00C446C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Application sur 80% minimum de la longueur du véhicule.</w:t>
      </w:r>
    </w:p>
    <w:p w:rsidR="002353EB" w:rsidRDefault="002353EB" w:rsidP="00C446C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 xml:space="preserve">Ligne continue et parallèle au sol – interruption maximale de </w:t>
      </w:r>
      <w:smartTag w:uri="urn:schemas-microsoft-com:office:smarttags" w:element="metricconverter">
        <w:smartTagPr>
          <w:attr w:name="ProductID" w:val="1,80 m"/>
        </w:smartTagPr>
        <w:r>
          <w:rPr>
            <w:rFonts w:ascii="Arial" w:hAnsi="Arial" w:cs="Arial"/>
            <w:sz w:val="22"/>
            <w:szCs w:val="22"/>
          </w:rPr>
          <w:t>1,80 m</w:t>
        </w:r>
      </w:smartTag>
      <w:r>
        <w:rPr>
          <w:rFonts w:ascii="Arial" w:hAnsi="Arial" w:cs="Arial"/>
          <w:sz w:val="22"/>
          <w:szCs w:val="22"/>
        </w:rPr>
        <w:t>.</w:t>
      </w:r>
    </w:p>
    <w:p w:rsidR="002353EB" w:rsidRDefault="002353EB" w:rsidP="00C446C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 xml:space="preserve">Hauteur d'application entre </w:t>
      </w:r>
      <w:smartTag w:uri="urn:schemas-microsoft-com:office:smarttags" w:element="metricconverter">
        <w:smartTagPr>
          <w:attr w:name="ProductID" w:val="0,25 m"/>
        </w:smartTagPr>
        <w:r>
          <w:rPr>
            <w:rFonts w:ascii="Arial" w:hAnsi="Arial" w:cs="Arial"/>
            <w:sz w:val="22"/>
            <w:szCs w:val="22"/>
          </w:rPr>
          <w:t>0,25 m</w:t>
        </w:r>
      </w:smartTag>
      <w:r>
        <w:rPr>
          <w:rFonts w:ascii="Arial" w:hAnsi="Arial" w:cs="Arial"/>
          <w:sz w:val="22"/>
          <w:szCs w:val="22"/>
        </w:rPr>
        <w:t xml:space="preserve"> et </w:t>
      </w:r>
      <w:smartTag w:uri="urn:schemas-microsoft-com:office:smarttags" w:element="metricconverter">
        <w:smartTagPr>
          <w:attr w:name="ProductID" w:val="1,8 m"/>
        </w:smartTagPr>
        <w:r>
          <w:rPr>
            <w:rFonts w:ascii="Arial" w:hAnsi="Arial" w:cs="Arial"/>
            <w:sz w:val="22"/>
            <w:szCs w:val="22"/>
          </w:rPr>
          <w:t>1,8 m</w:t>
        </w:r>
      </w:smartTag>
      <w:r>
        <w:rPr>
          <w:rFonts w:ascii="Arial" w:hAnsi="Arial" w:cs="Arial"/>
          <w:sz w:val="22"/>
          <w:szCs w:val="22"/>
        </w:rPr>
        <w:t xml:space="preserve"> au-dessus du sol.</w:t>
      </w:r>
    </w:p>
    <w:p w:rsidR="002353EB" w:rsidRDefault="002353EB" w:rsidP="00C446C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Symbol" w:hAnsi="Symbol" w:cs="Symbol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 xml:space="preserve">Retrait maximum de </w:t>
      </w:r>
      <w:smartTag w:uri="urn:schemas-microsoft-com:office:smarttags" w:element="metricconverter">
        <w:smartTagPr>
          <w:attr w:name="ProductID" w:val="0,70 m"/>
        </w:smartTagPr>
        <w:r>
          <w:rPr>
            <w:rFonts w:ascii="Arial" w:hAnsi="Arial" w:cs="Arial"/>
            <w:sz w:val="22"/>
            <w:szCs w:val="22"/>
          </w:rPr>
          <w:t>0,70 m</w:t>
        </w:r>
      </w:smartTag>
      <w:r>
        <w:rPr>
          <w:rFonts w:ascii="Arial" w:hAnsi="Arial" w:cs="Arial"/>
          <w:sz w:val="22"/>
          <w:szCs w:val="22"/>
        </w:rPr>
        <w:t xml:space="preserve"> par rapport aux bords extérieurs.</w:t>
      </w:r>
    </w:p>
    <w:p w:rsidR="00942BC1" w:rsidRDefault="00942BC1" w:rsidP="00C446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353EB" w:rsidRPr="00942BC1" w:rsidRDefault="002353EB" w:rsidP="00C446C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42BC1">
        <w:rPr>
          <w:rFonts w:ascii="Arial" w:hAnsi="Arial" w:cs="Arial"/>
          <w:b/>
          <w:bCs/>
          <w:sz w:val="22"/>
          <w:szCs w:val="22"/>
          <w:u w:val="single"/>
        </w:rPr>
        <w:t>2/ Préconisations techniques</w:t>
      </w:r>
    </w:p>
    <w:p w:rsidR="00942BC1" w:rsidRDefault="00942BC1" w:rsidP="00C446C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353EB" w:rsidRDefault="002353EB" w:rsidP="00C446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 bandes </w:t>
      </w:r>
      <w:proofErr w:type="spellStart"/>
      <w:r>
        <w:rPr>
          <w:rFonts w:ascii="Arial" w:hAnsi="Arial" w:cs="Arial"/>
          <w:sz w:val="22"/>
          <w:szCs w:val="22"/>
        </w:rPr>
        <w:t>rétroréfléchissantes</w:t>
      </w:r>
      <w:proofErr w:type="spellEnd"/>
      <w:r>
        <w:rPr>
          <w:rFonts w:ascii="Arial" w:hAnsi="Arial" w:cs="Arial"/>
          <w:sz w:val="22"/>
          <w:szCs w:val="22"/>
        </w:rPr>
        <w:t xml:space="preserve"> seront de couleur blanche ou jaune et d'une hauteur de</w:t>
      </w:r>
      <w:r w:rsidR="00C446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50 </w:t>
      </w:r>
      <w:proofErr w:type="spellStart"/>
      <w:r>
        <w:rPr>
          <w:rFonts w:ascii="Arial" w:hAnsi="Arial" w:cs="Arial"/>
          <w:sz w:val="22"/>
          <w:szCs w:val="22"/>
        </w:rPr>
        <w:t>mm.</w:t>
      </w:r>
      <w:proofErr w:type="spellEnd"/>
    </w:p>
    <w:p w:rsidR="00942BC1" w:rsidRDefault="00942BC1" w:rsidP="00C446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353EB" w:rsidRDefault="002353EB" w:rsidP="00C446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Elles devront présenter une durabilité de 7 ans. Le revêtement ne présentera pas de</w:t>
      </w:r>
      <w:r w:rsidR="00C446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décoloration, de craquelures, de délamination ou de marque d'adhésion. Il conservera une</w:t>
      </w:r>
      <w:r w:rsidR="00C446CD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rétroréflexion</w:t>
      </w:r>
      <w:proofErr w:type="spellEnd"/>
      <w:r>
        <w:rPr>
          <w:rFonts w:ascii="Arial" w:hAnsi="Arial" w:cs="Arial"/>
          <w:sz w:val="22"/>
          <w:szCs w:val="22"/>
        </w:rPr>
        <w:t xml:space="preserve"> et un aspect satisfaisant pendant toute la durée d'utilisation.</w:t>
      </w:r>
    </w:p>
    <w:sectPr w:rsidR="002353EB" w:rsidSect="00AC704A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EB"/>
    <w:rsid w:val="002353EB"/>
    <w:rsid w:val="00366F30"/>
    <w:rsid w:val="00942BC1"/>
    <w:rsid w:val="00AC704A"/>
    <w:rsid w:val="00BD56A3"/>
    <w:rsid w:val="00C446CD"/>
    <w:rsid w:val="00CD323C"/>
    <w:rsid w:val="00DB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40E9D-6BA7-413E-A4D6-33184DC2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AC7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2 AU CCTP</vt:lpstr>
    </vt:vector>
  </TitlesOfParts>
  <Company>Conseil Général Du Finistère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2 AU CCTP</dc:title>
  <dc:subject/>
  <dc:creator>KERNOAJO</dc:creator>
  <cp:keywords/>
  <dc:description/>
  <cp:lastModifiedBy>CALVEZ Laëtitia</cp:lastModifiedBy>
  <cp:revision>2</cp:revision>
  <dcterms:created xsi:type="dcterms:W3CDTF">2017-05-03T10:04:00Z</dcterms:created>
  <dcterms:modified xsi:type="dcterms:W3CDTF">2017-05-03T10:04:00Z</dcterms:modified>
</cp:coreProperties>
</file>