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F2" w:rsidRPr="000407F2" w:rsidRDefault="004C026C" w:rsidP="000407F2">
      <w:pPr>
        <w:pBdr>
          <w:top w:val="single" w:sz="4" w:space="1" w:color="auto"/>
          <w:left w:val="single" w:sz="4" w:space="4" w:color="auto"/>
          <w:bottom w:val="single" w:sz="4" w:space="1" w:color="auto"/>
          <w:right w:val="single" w:sz="4" w:space="4" w:color="auto"/>
        </w:pBdr>
        <w:ind w:left="-540"/>
        <w:jc w:val="center"/>
        <w:rPr>
          <w:b/>
          <w:sz w:val="28"/>
          <w:szCs w:val="28"/>
        </w:rPr>
      </w:pPr>
      <w:r>
        <w:rPr>
          <w:b/>
          <w:sz w:val="28"/>
          <w:szCs w:val="28"/>
        </w:rPr>
        <w:t>Règlement de consultation</w:t>
      </w:r>
    </w:p>
    <w:p w:rsidR="000407F2" w:rsidRDefault="000407F2" w:rsidP="000407F2">
      <w:pPr>
        <w:jc w:val="center"/>
        <w:rPr>
          <w:b/>
          <w:color w:val="800000"/>
          <w:sz w:val="36"/>
          <w:szCs w:val="36"/>
        </w:rPr>
      </w:pPr>
    </w:p>
    <w:p w:rsidR="000407F2" w:rsidRPr="00904F81" w:rsidRDefault="000407F2" w:rsidP="000407F2">
      <w:pPr>
        <w:jc w:val="center"/>
        <w:rPr>
          <w:b/>
          <w:color w:val="800000"/>
          <w:sz w:val="36"/>
          <w:szCs w:val="36"/>
        </w:rPr>
      </w:pPr>
      <w:r w:rsidRPr="00904F81">
        <w:rPr>
          <w:b/>
          <w:color w:val="800000"/>
          <w:sz w:val="36"/>
          <w:szCs w:val="36"/>
        </w:rPr>
        <w:t>Etablissement</w:t>
      </w:r>
      <w:r>
        <w:rPr>
          <w:b/>
          <w:color w:val="800000"/>
          <w:sz w:val="36"/>
          <w:szCs w:val="36"/>
        </w:rPr>
        <w:t>s</w:t>
      </w:r>
      <w:r w:rsidRPr="00904F81">
        <w:rPr>
          <w:b/>
          <w:color w:val="800000"/>
          <w:sz w:val="36"/>
          <w:szCs w:val="36"/>
        </w:rPr>
        <w:t xml:space="preserve"> d’Hébergement de Personnes Agées Dépendantes</w:t>
      </w:r>
    </w:p>
    <w:p w:rsidR="000407F2" w:rsidRDefault="0070389F" w:rsidP="000407F2">
      <w:pPr>
        <w:pBdr>
          <w:top w:val="single" w:sz="12" w:space="1" w:color="auto" w:shadow="1"/>
          <w:left w:val="single" w:sz="12" w:space="4" w:color="auto" w:shadow="1"/>
          <w:bottom w:val="single" w:sz="12" w:space="1" w:color="auto" w:shadow="1"/>
          <w:right w:val="single" w:sz="12" w:space="4" w:color="auto" w:shadow="1"/>
        </w:pBdr>
        <w:shd w:val="clear" w:color="auto" w:fill="E6E6E6"/>
        <w:tabs>
          <w:tab w:val="left" w:pos="900"/>
        </w:tabs>
        <w:ind w:right="23"/>
        <w:jc w:val="center"/>
        <w:rPr>
          <w:b/>
          <w:sz w:val="28"/>
          <w:szCs w:val="28"/>
        </w:rPr>
      </w:pPr>
      <w:r>
        <w:rPr>
          <w:b/>
          <w:sz w:val="28"/>
          <w:szCs w:val="28"/>
        </w:rPr>
        <w:t>Fourniture de Produits d’entretien</w:t>
      </w:r>
    </w:p>
    <w:p w:rsidR="000407F2" w:rsidRDefault="00AC078B" w:rsidP="000407F2">
      <w:pPr>
        <w:jc w:val="center"/>
        <w:rPr>
          <w:b/>
          <w:color w:val="800000"/>
          <w:sz w:val="36"/>
          <w:szCs w:val="36"/>
        </w:rPr>
      </w:pPr>
      <w:r>
        <w:rPr>
          <w:b/>
          <w:color w:val="800000"/>
          <w:sz w:val="36"/>
          <w:szCs w:val="36"/>
        </w:rPr>
        <w:t>Règlement de consultation</w:t>
      </w:r>
    </w:p>
    <w:p w:rsidR="00AC078B" w:rsidRDefault="00AC078B" w:rsidP="000407F2">
      <w:pPr>
        <w:jc w:val="center"/>
      </w:pPr>
    </w:p>
    <w:p w:rsidR="000407F2" w:rsidRDefault="000407F2" w:rsidP="000407F2">
      <w:pPr>
        <w:jc w:val="center"/>
        <w:rPr>
          <w:b/>
          <w:color w:val="800000"/>
          <w:sz w:val="36"/>
          <w:szCs w:val="36"/>
        </w:rPr>
      </w:pPr>
      <w:r>
        <w:rPr>
          <w:b/>
          <w:color w:val="800000"/>
          <w:sz w:val="36"/>
          <w:szCs w:val="36"/>
        </w:rPr>
        <w:t>Lot unique</w:t>
      </w:r>
    </w:p>
    <w:p w:rsidR="000407F2" w:rsidRDefault="000407F2" w:rsidP="000407F2">
      <w:pPr>
        <w:jc w:val="center"/>
        <w:rPr>
          <w:bdr w:val="single" w:sz="12" w:space="0" w:color="auto"/>
        </w:rPr>
      </w:pPr>
      <w:r w:rsidRPr="00FB67CE">
        <w:rPr>
          <w:bdr w:val="single" w:sz="12" w:space="0" w:color="auto"/>
        </w:rPr>
        <w:t xml:space="preserve">N° DE MARCHE : </w:t>
      </w:r>
      <w:r w:rsidRPr="00FB67CE">
        <w:rPr>
          <w:bdr w:val="single" w:sz="12" w:space="0" w:color="auto"/>
        </w:rPr>
        <w:tab/>
      </w:r>
      <w:r>
        <w:rPr>
          <w:bdr w:val="single" w:sz="12" w:space="0" w:color="auto"/>
        </w:rPr>
        <w:t>201</w:t>
      </w:r>
      <w:r w:rsidR="00382824">
        <w:rPr>
          <w:bdr w:val="single" w:sz="12" w:space="0" w:color="auto"/>
        </w:rPr>
        <w:t>5</w:t>
      </w:r>
      <w:r w:rsidR="0070389F">
        <w:rPr>
          <w:bdr w:val="single" w:sz="12" w:space="0" w:color="auto"/>
        </w:rPr>
        <w:t>.</w:t>
      </w:r>
      <w:r w:rsidR="00382824">
        <w:rPr>
          <w:bdr w:val="single" w:sz="12" w:space="0" w:color="auto"/>
        </w:rPr>
        <w:t>14</w:t>
      </w:r>
      <w:r>
        <w:rPr>
          <w:bdr w:val="single" w:sz="12" w:space="0" w:color="auto"/>
        </w:rPr>
        <w:tab/>
      </w:r>
    </w:p>
    <w:p w:rsidR="000407F2" w:rsidRDefault="000407F2" w:rsidP="000407F2">
      <w:pPr>
        <w:rPr>
          <w:bdr w:val="single" w:sz="12" w:space="0" w:color="auto"/>
        </w:rPr>
      </w:pPr>
    </w:p>
    <w:p w:rsidR="000407F2" w:rsidRPr="00AC078B" w:rsidRDefault="000407F2" w:rsidP="00AC078B">
      <w:pPr>
        <w:pBdr>
          <w:top w:val="single" w:sz="4" w:space="1" w:color="auto"/>
          <w:left w:val="single" w:sz="4" w:space="4" w:color="auto"/>
          <w:bottom w:val="single" w:sz="4" w:space="1" w:color="auto"/>
          <w:right w:val="single" w:sz="4" w:space="4" w:color="auto"/>
        </w:pBdr>
        <w:jc w:val="center"/>
        <w:rPr>
          <w:b/>
        </w:rPr>
      </w:pPr>
      <w:r w:rsidRPr="00AC078B">
        <w:rPr>
          <w:b/>
        </w:rPr>
        <w:t>SIVU des rives de l’Elorn</w:t>
      </w:r>
    </w:p>
    <w:p w:rsidR="000407F2" w:rsidRPr="00AC078B" w:rsidRDefault="000407F2" w:rsidP="00AC078B">
      <w:pPr>
        <w:pBdr>
          <w:top w:val="single" w:sz="4" w:space="1" w:color="auto"/>
          <w:left w:val="single" w:sz="4" w:space="4" w:color="auto"/>
          <w:bottom w:val="single" w:sz="4" w:space="1" w:color="auto"/>
          <w:right w:val="single" w:sz="4" w:space="4" w:color="auto"/>
        </w:pBdr>
        <w:jc w:val="center"/>
        <w:rPr>
          <w:b/>
        </w:rPr>
      </w:pPr>
      <w:r w:rsidRPr="00AC078B">
        <w:rPr>
          <w:b/>
        </w:rPr>
        <w:t xml:space="preserve">58, rue Saint </w:t>
      </w:r>
      <w:proofErr w:type="spellStart"/>
      <w:r w:rsidRPr="00AC078B">
        <w:rPr>
          <w:b/>
        </w:rPr>
        <w:t>Thudon</w:t>
      </w:r>
      <w:proofErr w:type="spellEnd"/>
    </w:p>
    <w:p w:rsidR="000407F2" w:rsidRPr="00AC078B" w:rsidRDefault="000407F2" w:rsidP="00AC078B">
      <w:pPr>
        <w:pBdr>
          <w:top w:val="single" w:sz="4" w:space="1" w:color="auto"/>
          <w:left w:val="single" w:sz="4" w:space="4" w:color="auto"/>
          <w:bottom w:val="single" w:sz="4" w:space="1" w:color="auto"/>
          <w:right w:val="single" w:sz="4" w:space="4" w:color="auto"/>
        </w:pBdr>
        <w:jc w:val="center"/>
        <w:rPr>
          <w:b/>
        </w:rPr>
      </w:pPr>
      <w:r w:rsidRPr="00AC078B">
        <w:rPr>
          <w:b/>
        </w:rPr>
        <w:t>29490 GUIPAVAS</w:t>
      </w:r>
    </w:p>
    <w:p w:rsidR="000407F2" w:rsidRDefault="000407F2" w:rsidP="000407F2"/>
    <w:p w:rsidR="000407F2" w:rsidRPr="005D1971" w:rsidRDefault="000407F2" w:rsidP="000407F2">
      <w:pPr>
        <w:pBdr>
          <w:top w:val="single" w:sz="4" w:space="1" w:color="auto"/>
          <w:left w:val="single" w:sz="4" w:space="4" w:color="auto"/>
          <w:bottom w:val="single" w:sz="4" w:space="1" w:color="auto"/>
          <w:right w:val="single" w:sz="4" w:space="4" w:color="auto"/>
        </w:pBdr>
        <w:tabs>
          <w:tab w:val="left" w:pos="4500"/>
        </w:tabs>
        <w:rPr>
          <w:b/>
        </w:rPr>
      </w:pPr>
      <w:r w:rsidRPr="005D1971">
        <w:rPr>
          <w:b/>
        </w:rPr>
        <w:t>Procédure de passation (1)</w:t>
      </w:r>
      <w:r>
        <w:rPr>
          <w:b/>
        </w:rPr>
        <w:tab/>
      </w:r>
      <w:r w:rsidR="00331082">
        <w:t>procédure adaptée – articles 28</w:t>
      </w:r>
    </w:p>
    <w:p w:rsidR="000407F2" w:rsidRPr="005D1971" w:rsidRDefault="000407F2" w:rsidP="000407F2">
      <w:pPr>
        <w:pBdr>
          <w:top w:val="single" w:sz="4" w:space="1" w:color="auto"/>
          <w:left w:val="single" w:sz="4" w:space="4" w:color="auto"/>
          <w:bottom w:val="single" w:sz="4" w:space="1" w:color="auto"/>
          <w:right w:val="single" w:sz="4" w:space="4" w:color="auto"/>
        </w:pBdr>
        <w:tabs>
          <w:tab w:val="left" w:pos="4500"/>
        </w:tabs>
        <w:rPr>
          <w:b/>
        </w:rPr>
      </w:pPr>
      <w:r w:rsidRPr="005D1971">
        <w:rPr>
          <w:b/>
        </w:rPr>
        <w:t>En référence au Code des</w:t>
      </w:r>
      <w:r>
        <w:rPr>
          <w:b/>
        </w:rPr>
        <w:tab/>
      </w:r>
    </w:p>
    <w:p w:rsidR="000407F2" w:rsidRDefault="000407F2" w:rsidP="000407F2">
      <w:pPr>
        <w:pBdr>
          <w:top w:val="single" w:sz="4" w:space="1" w:color="auto"/>
          <w:left w:val="single" w:sz="4" w:space="4" w:color="auto"/>
          <w:bottom w:val="single" w:sz="4" w:space="1" w:color="auto"/>
          <w:right w:val="single" w:sz="4" w:space="4" w:color="auto"/>
        </w:pBdr>
        <w:rPr>
          <w:b/>
        </w:rPr>
      </w:pPr>
      <w:r w:rsidRPr="005D1971">
        <w:rPr>
          <w:b/>
        </w:rPr>
        <w:t>Marchés Publics</w:t>
      </w:r>
    </w:p>
    <w:p w:rsidR="000407F2" w:rsidRDefault="000407F2">
      <w:pPr>
        <w:sectPr w:rsidR="000407F2" w:rsidSect="00DC659A">
          <w:headerReference w:type="default" r:id="rId8"/>
          <w:pgSz w:w="11906" w:h="16838"/>
          <w:pgMar w:top="1417" w:right="1417" w:bottom="1417" w:left="1417" w:header="708" w:footer="708" w:gutter="0"/>
          <w:cols w:space="708"/>
          <w:docGrid w:linePitch="360"/>
        </w:sectPr>
      </w:pPr>
    </w:p>
    <w:sdt>
      <w:sdtPr>
        <w:rPr>
          <w:rFonts w:ascii="Arial" w:eastAsia="Times New Roman" w:hAnsi="Arial" w:cs="Times New Roman"/>
          <w:b w:val="0"/>
          <w:bCs w:val="0"/>
          <w:color w:val="auto"/>
          <w:sz w:val="20"/>
          <w:szCs w:val="24"/>
          <w:lang w:eastAsia="fr-FR"/>
        </w:rPr>
        <w:id w:val="10806829"/>
        <w:docPartObj>
          <w:docPartGallery w:val="Table of Contents"/>
          <w:docPartUnique/>
        </w:docPartObj>
      </w:sdtPr>
      <w:sdtEndPr/>
      <w:sdtContent>
        <w:p w:rsidR="00AA1D9F" w:rsidRDefault="00AA1D9F">
          <w:pPr>
            <w:pStyle w:val="En-ttedetabledesmatires"/>
          </w:pPr>
          <w:r>
            <w:t>Sommaire</w:t>
          </w:r>
        </w:p>
        <w:p w:rsidR="00EB7BF5" w:rsidRDefault="00F21157">
          <w:pPr>
            <w:pStyle w:val="TM1"/>
            <w:tabs>
              <w:tab w:val="left" w:pos="1320"/>
              <w:tab w:val="right" w:leader="dot" w:pos="9062"/>
            </w:tabs>
            <w:rPr>
              <w:rFonts w:asciiTheme="minorHAnsi" w:eastAsiaTheme="minorEastAsia" w:hAnsiTheme="minorHAnsi" w:cstheme="minorBidi"/>
              <w:noProof/>
              <w:sz w:val="22"/>
              <w:szCs w:val="22"/>
            </w:rPr>
          </w:pPr>
          <w:r>
            <w:fldChar w:fldCharType="begin"/>
          </w:r>
          <w:r w:rsidR="00AA1D9F">
            <w:instrText xml:space="preserve"> TOC \o "1-3" \h \z \u </w:instrText>
          </w:r>
          <w:r>
            <w:fldChar w:fldCharType="separate"/>
          </w:r>
          <w:hyperlink w:anchor="_Toc437333458" w:history="1">
            <w:r w:rsidR="00EB7BF5" w:rsidRPr="00B95132">
              <w:rPr>
                <w:rStyle w:val="Lienhypertexte"/>
                <w:rFonts w:eastAsiaTheme="majorEastAsia"/>
                <w:noProof/>
              </w:rPr>
              <w:t>Chapitre 1.</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Objet de la consultation</w:t>
            </w:r>
            <w:r w:rsidR="00EB7BF5">
              <w:rPr>
                <w:noProof/>
                <w:webHidden/>
              </w:rPr>
              <w:tab/>
            </w:r>
            <w:r w:rsidR="00EB7BF5">
              <w:rPr>
                <w:noProof/>
                <w:webHidden/>
              </w:rPr>
              <w:fldChar w:fldCharType="begin"/>
            </w:r>
            <w:r w:rsidR="00EB7BF5">
              <w:rPr>
                <w:noProof/>
                <w:webHidden/>
              </w:rPr>
              <w:instrText xml:space="preserve"> PAGEREF _Toc437333458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59" w:history="1">
            <w:r w:rsidR="00EB7BF5" w:rsidRPr="00B95132">
              <w:rPr>
                <w:rStyle w:val="Lienhypertexte"/>
                <w:rFonts w:eastAsiaTheme="majorEastAsia"/>
                <w:noProof/>
              </w:rPr>
              <w:t>1.1</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Objet du marché – dispositions générales</w:t>
            </w:r>
            <w:r w:rsidR="00EB7BF5">
              <w:rPr>
                <w:noProof/>
                <w:webHidden/>
              </w:rPr>
              <w:tab/>
            </w:r>
            <w:r w:rsidR="00EB7BF5">
              <w:rPr>
                <w:noProof/>
                <w:webHidden/>
              </w:rPr>
              <w:fldChar w:fldCharType="begin"/>
            </w:r>
            <w:r w:rsidR="00EB7BF5">
              <w:rPr>
                <w:noProof/>
                <w:webHidden/>
              </w:rPr>
              <w:instrText xml:space="preserve"> PAGEREF _Toc437333459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60" w:history="1">
            <w:r w:rsidR="00EB7BF5" w:rsidRPr="00B95132">
              <w:rPr>
                <w:rStyle w:val="Lienhypertexte"/>
                <w:rFonts w:eastAsiaTheme="majorEastAsia"/>
                <w:noProof/>
              </w:rPr>
              <w:t>1.1.1</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Objet du marché</w:t>
            </w:r>
            <w:r w:rsidR="00EB7BF5">
              <w:rPr>
                <w:noProof/>
                <w:webHidden/>
              </w:rPr>
              <w:tab/>
            </w:r>
            <w:r w:rsidR="00EB7BF5">
              <w:rPr>
                <w:noProof/>
                <w:webHidden/>
              </w:rPr>
              <w:fldChar w:fldCharType="begin"/>
            </w:r>
            <w:r w:rsidR="00EB7BF5">
              <w:rPr>
                <w:noProof/>
                <w:webHidden/>
              </w:rPr>
              <w:instrText xml:space="preserve"> PAGEREF _Toc437333460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61" w:history="1">
            <w:r w:rsidR="00EB7BF5" w:rsidRPr="00B95132">
              <w:rPr>
                <w:rStyle w:val="Lienhypertexte"/>
                <w:rFonts w:eastAsiaTheme="majorEastAsia"/>
                <w:noProof/>
              </w:rPr>
              <w:t>1.1.2</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Mode de passation</w:t>
            </w:r>
            <w:r w:rsidR="00EB7BF5">
              <w:rPr>
                <w:noProof/>
                <w:webHidden/>
              </w:rPr>
              <w:tab/>
            </w:r>
            <w:r w:rsidR="00EB7BF5">
              <w:rPr>
                <w:noProof/>
                <w:webHidden/>
              </w:rPr>
              <w:fldChar w:fldCharType="begin"/>
            </w:r>
            <w:r w:rsidR="00EB7BF5">
              <w:rPr>
                <w:noProof/>
                <w:webHidden/>
              </w:rPr>
              <w:instrText xml:space="preserve"> PAGEREF _Toc437333461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62" w:history="1">
            <w:r w:rsidR="00EB7BF5" w:rsidRPr="00B95132">
              <w:rPr>
                <w:rStyle w:val="Lienhypertexte"/>
                <w:rFonts w:eastAsiaTheme="majorEastAsia"/>
                <w:noProof/>
              </w:rPr>
              <w:t>1.1.3</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Durée du marché</w:t>
            </w:r>
            <w:r w:rsidR="00EB7BF5">
              <w:rPr>
                <w:noProof/>
                <w:webHidden/>
              </w:rPr>
              <w:tab/>
            </w:r>
            <w:r w:rsidR="00EB7BF5">
              <w:rPr>
                <w:noProof/>
                <w:webHidden/>
              </w:rPr>
              <w:fldChar w:fldCharType="begin"/>
            </w:r>
            <w:r w:rsidR="00EB7BF5">
              <w:rPr>
                <w:noProof/>
                <w:webHidden/>
              </w:rPr>
              <w:instrText xml:space="preserve"> PAGEREF _Toc437333462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63" w:history="1">
            <w:r w:rsidR="00EB7BF5" w:rsidRPr="00B95132">
              <w:rPr>
                <w:rStyle w:val="Lienhypertexte"/>
                <w:rFonts w:eastAsiaTheme="majorEastAsia"/>
                <w:noProof/>
              </w:rPr>
              <w:t>1.1.4</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Périmètre des prestations</w:t>
            </w:r>
            <w:r w:rsidR="00EB7BF5">
              <w:rPr>
                <w:noProof/>
                <w:webHidden/>
              </w:rPr>
              <w:tab/>
            </w:r>
            <w:r w:rsidR="00EB7BF5">
              <w:rPr>
                <w:noProof/>
                <w:webHidden/>
              </w:rPr>
              <w:fldChar w:fldCharType="begin"/>
            </w:r>
            <w:r w:rsidR="00EB7BF5">
              <w:rPr>
                <w:noProof/>
                <w:webHidden/>
              </w:rPr>
              <w:instrText xml:space="preserve"> PAGEREF _Toc437333463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64" w:history="1">
            <w:r w:rsidR="00EB7BF5" w:rsidRPr="00B95132">
              <w:rPr>
                <w:rStyle w:val="Lienhypertexte"/>
                <w:rFonts w:eastAsiaTheme="majorEastAsia"/>
                <w:noProof/>
              </w:rPr>
              <w:t>1.1.5</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Division en lots</w:t>
            </w:r>
            <w:r w:rsidR="00EB7BF5">
              <w:rPr>
                <w:noProof/>
                <w:webHidden/>
              </w:rPr>
              <w:tab/>
            </w:r>
            <w:r w:rsidR="00EB7BF5">
              <w:rPr>
                <w:noProof/>
                <w:webHidden/>
              </w:rPr>
              <w:fldChar w:fldCharType="begin"/>
            </w:r>
            <w:r w:rsidR="00EB7BF5">
              <w:rPr>
                <w:noProof/>
                <w:webHidden/>
              </w:rPr>
              <w:instrText xml:space="preserve"> PAGEREF _Toc437333464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65" w:history="1">
            <w:r w:rsidR="00EB7BF5" w:rsidRPr="00B95132">
              <w:rPr>
                <w:rStyle w:val="Lienhypertexte"/>
                <w:rFonts w:eastAsiaTheme="majorEastAsia"/>
                <w:noProof/>
              </w:rPr>
              <w:t>1.1.6</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Modification de détail au dossier de consultation</w:t>
            </w:r>
            <w:r w:rsidR="00EB7BF5">
              <w:rPr>
                <w:noProof/>
                <w:webHidden/>
              </w:rPr>
              <w:tab/>
            </w:r>
            <w:r w:rsidR="00EB7BF5">
              <w:rPr>
                <w:noProof/>
                <w:webHidden/>
              </w:rPr>
              <w:fldChar w:fldCharType="begin"/>
            </w:r>
            <w:r w:rsidR="00EB7BF5">
              <w:rPr>
                <w:noProof/>
                <w:webHidden/>
              </w:rPr>
              <w:instrText xml:space="preserve"> PAGEREF _Toc437333465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66" w:history="1">
            <w:r w:rsidR="00EB7BF5" w:rsidRPr="00B95132">
              <w:rPr>
                <w:rStyle w:val="Lienhypertexte"/>
                <w:rFonts w:eastAsiaTheme="majorEastAsia"/>
                <w:noProof/>
              </w:rPr>
              <w:t>1.2</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Délai de validité des offres</w:t>
            </w:r>
            <w:r w:rsidR="00EB7BF5">
              <w:rPr>
                <w:noProof/>
                <w:webHidden/>
              </w:rPr>
              <w:tab/>
            </w:r>
            <w:r w:rsidR="00EB7BF5">
              <w:rPr>
                <w:noProof/>
                <w:webHidden/>
              </w:rPr>
              <w:fldChar w:fldCharType="begin"/>
            </w:r>
            <w:r w:rsidR="00EB7BF5">
              <w:rPr>
                <w:noProof/>
                <w:webHidden/>
              </w:rPr>
              <w:instrText xml:space="preserve"> PAGEREF _Toc437333466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67" w:history="1">
            <w:r w:rsidR="00EB7BF5" w:rsidRPr="00B95132">
              <w:rPr>
                <w:rStyle w:val="Lienhypertexte"/>
                <w:rFonts w:eastAsiaTheme="majorEastAsia"/>
                <w:noProof/>
              </w:rPr>
              <w:t>1.3</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Dossier de consultation</w:t>
            </w:r>
            <w:r w:rsidR="00EB7BF5">
              <w:rPr>
                <w:noProof/>
                <w:webHidden/>
              </w:rPr>
              <w:tab/>
            </w:r>
            <w:r w:rsidR="00EB7BF5">
              <w:rPr>
                <w:noProof/>
                <w:webHidden/>
              </w:rPr>
              <w:fldChar w:fldCharType="begin"/>
            </w:r>
            <w:r w:rsidR="00EB7BF5">
              <w:rPr>
                <w:noProof/>
                <w:webHidden/>
              </w:rPr>
              <w:instrText xml:space="preserve"> PAGEREF _Toc437333467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68" w:history="1">
            <w:r w:rsidR="00EB7BF5" w:rsidRPr="00B95132">
              <w:rPr>
                <w:rStyle w:val="Lienhypertexte"/>
                <w:rFonts w:eastAsiaTheme="majorEastAsia"/>
                <w:noProof/>
              </w:rPr>
              <w:t>1.4</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Présentation des candidatures et des offres</w:t>
            </w:r>
            <w:r w:rsidR="00EB7BF5">
              <w:rPr>
                <w:noProof/>
                <w:webHidden/>
              </w:rPr>
              <w:tab/>
            </w:r>
            <w:r w:rsidR="00EB7BF5">
              <w:rPr>
                <w:noProof/>
                <w:webHidden/>
              </w:rPr>
              <w:fldChar w:fldCharType="begin"/>
            </w:r>
            <w:r w:rsidR="00EB7BF5">
              <w:rPr>
                <w:noProof/>
                <w:webHidden/>
              </w:rPr>
              <w:instrText xml:space="preserve"> PAGEREF _Toc437333468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69" w:history="1">
            <w:r w:rsidR="00EB7BF5" w:rsidRPr="00B95132">
              <w:rPr>
                <w:rStyle w:val="Lienhypertexte"/>
                <w:rFonts w:eastAsiaTheme="majorEastAsia"/>
                <w:noProof/>
              </w:rPr>
              <w:t>1.4.1</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Les déclarations et justificatifs suivants</w:t>
            </w:r>
            <w:r w:rsidR="00EB7BF5">
              <w:rPr>
                <w:noProof/>
                <w:webHidden/>
              </w:rPr>
              <w:tab/>
            </w:r>
            <w:r w:rsidR="00EB7BF5">
              <w:rPr>
                <w:noProof/>
                <w:webHidden/>
              </w:rPr>
              <w:fldChar w:fldCharType="begin"/>
            </w:r>
            <w:r w:rsidR="00EB7BF5">
              <w:rPr>
                <w:noProof/>
                <w:webHidden/>
              </w:rPr>
              <w:instrText xml:space="preserve"> PAGEREF _Toc437333469 \h </w:instrText>
            </w:r>
            <w:r w:rsidR="00EB7BF5">
              <w:rPr>
                <w:noProof/>
                <w:webHidden/>
              </w:rPr>
            </w:r>
            <w:r w:rsidR="00EB7BF5">
              <w:rPr>
                <w:noProof/>
                <w:webHidden/>
              </w:rPr>
              <w:fldChar w:fldCharType="separate"/>
            </w:r>
            <w:r w:rsidR="00EB7BF5">
              <w:rPr>
                <w:noProof/>
                <w:webHidden/>
              </w:rPr>
              <w:t>3</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70" w:history="1">
            <w:r w:rsidR="00EB7BF5" w:rsidRPr="00B95132">
              <w:rPr>
                <w:rStyle w:val="Lienhypertexte"/>
                <w:rFonts w:eastAsiaTheme="majorEastAsia"/>
                <w:noProof/>
              </w:rPr>
              <w:t>1.4.2</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L’Acte d’Engagement (imprimé DC3)</w:t>
            </w:r>
            <w:r w:rsidR="00EB7BF5">
              <w:rPr>
                <w:noProof/>
                <w:webHidden/>
              </w:rPr>
              <w:tab/>
            </w:r>
            <w:r w:rsidR="00EB7BF5">
              <w:rPr>
                <w:noProof/>
                <w:webHidden/>
              </w:rPr>
              <w:fldChar w:fldCharType="begin"/>
            </w:r>
            <w:r w:rsidR="00EB7BF5">
              <w:rPr>
                <w:noProof/>
                <w:webHidden/>
              </w:rPr>
              <w:instrText xml:space="preserve"> PAGEREF _Toc437333470 \h </w:instrText>
            </w:r>
            <w:r w:rsidR="00EB7BF5">
              <w:rPr>
                <w:noProof/>
                <w:webHidden/>
              </w:rPr>
            </w:r>
            <w:r w:rsidR="00EB7BF5">
              <w:rPr>
                <w:noProof/>
                <w:webHidden/>
              </w:rPr>
              <w:fldChar w:fldCharType="separate"/>
            </w:r>
            <w:r w:rsidR="00EB7BF5">
              <w:rPr>
                <w:noProof/>
                <w:webHidden/>
              </w:rPr>
              <w:t>4</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71" w:history="1">
            <w:r w:rsidR="00EB7BF5" w:rsidRPr="00B95132">
              <w:rPr>
                <w:rStyle w:val="Lienhypertexte"/>
                <w:rFonts w:eastAsiaTheme="majorEastAsia"/>
                <w:noProof/>
              </w:rPr>
              <w:t>1.5</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Conditions d’envoi ou de remise des offres</w:t>
            </w:r>
            <w:r w:rsidR="00EB7BF5">
              <w:rPr>
                <w:noProof/>
                <w:webHidden/>
              </w:rPr>
              <w:tab/>
            </w:r>
            <w:r w:rsidR="00EB7BF5">
              <w:rPr>
                <w:noProof/>
                <w:webHidden/>
              </w:rPr>
              <w:fldChar w:fldCharType="begin"/>
            </w:r>
            <w:r w:rsidR="00EB7BF5">
              <w:rPr>
                <w:noProof/>
                <w:webHidden/>
              </w:rPr>
              <w:instrText xml:space="preserve"> PAGEREF _Toc437333471 \h </w:instrText>
            </w:r>
            <w:r w:rsidR="00EB7BF5">
              <w:rPr>
                <w:noProof/>
                <w:webHidden/>
              </w:rPr>
            </w:r>
            <w:r w:rsidR="00EB7BF5">
              <w:rPr>
                <w:noProof/>
                <w:webHidden/>
              </w:rPr>
              <w:fldChar w:fldCharType="separate"/>
            </w:r>
            <w:r w:rsidR="00EB7BF5">
              <w:rPr>
                <w:noProof/>
                <w:webHidden/>
              </w:rPr>
              <w:t>4</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72" w:history="1">
            <w:r w:rsidR="00EB7BF5" w:rsidRPr="00B95132">
              <w:rPr>
                <w:rStyle w:val="Lienhypertexte"/>
                <w:rFonts w:eastAsiaTheme="majorEastAsia"/>
                <w:noProof/>
              </w:rPr>
              <w:t>1.6</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Jugement des offres et attribution définitive</w:t>
            </w:r>
            <w:r w:rsidR="00EB7BF5">
              <w:rPr>
                <w:noProof/>
                <w:webHidden/>
              </w:rPr>
              <w:tab/>
            </w:r>
            <w:r w:rsidR="00EB7BF5">
              <w:rPr>
                <w:noProof/>
                <w:webHidden/>
              </w:rPr>
              <w:fldChar w:fldCharType="begin"/>
            </w:r>
            <w:r w:rsidR="00EB7BF5">
              <w:rPr>
                <w:noProof/>
                <w:webHidden/>
              </w:rPr>
              <w:instrText xml:space="preserve"> PAGEREF _Toc437333472 \h </w:instrText>
            </w:r>
            <w:r w:rsidR="00EB7BF5">
              <w:rPr>
                <w:noProof/>
                <w:webHidden/>
              </w:rPr>
            </w:r>
            <w:r w:rsidR="00EB7BF5">
              <w:rPr>
                <w:noProof/>
                <w:webHidden/>
              </w:rPr>
              <w:fldChar w:fldCharType="separate"/>
            </w:r>
            <w:r w:rsidR="00EB7BF5">
              <w:rPr>
                <w:noProof/>
                <w:webHidden/>
              </w:rPr>
              <w:t>5</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73" w:history="1">
            <w:r w:rsidR="00EB7BF5" w:rsidRPr="00B95132">
              <w:rPr>
                <w:rStyle w:val="Lienhypertexte"/>
                <w:rFonts w:eastAsiaTheme="majorEastAsia"/>
                <w:noProof/>
              </w:rPr>
              <w:t>1.7</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Modalités d’exécution</w:t>
            </w:r>
            <w:r w:rsidR="00EB7BF5">
              <w:rPr>
                <w:noProof/>
                <w:webHidden/>
              </w:rPr>
              <w:tab/>
            </w:r>
            <w:r w:rsidR="00EB7BF5">
              <w:rPr>
                <w:noProof/>
                <w:webHidden/>
              </w:rPr>
              <w:fldChar w:fldCharType="begin"/>
            </w:r>
            <w:r w:rsidR="00EB7BF5">
              <w:rPr>
                <w:noProof/>
                <w:webHidden/>
              </w:rPr>
              <w:instrText xml:space="preserve"> PAGEREF _Toc437333473 \h </w:instrText>
            </w:r>
            <w:r w:rsidR="00EB7BF5">
              <w:rPr>
                <w:noProof/>
                <w:webHidden/>
              </w:rPr>
            </w:r>
            <w:r w:rsidR="00EB7BF5">
              <w:rPr>
                <w:noProof/>
                <w:webHidden/>
              </w:rPr>
              <w:fldChar w:fldCharType="separate"/>
            </w:r>
            <w:r w:rsidR="00EB7BF5">
              <w:rPr>
                <w:noProof/>
                <w:webHidden/>
              </w:rPr>
              <w:t>5</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74" w:history="1">
            <w:r w:rsidR="00EB7BF5" w:rsidRPr="00B95132">
              <w:rPr>
                <w:rStyle w:val="Lienhypertexte"/>
                <w:rFonts w:eastAsiaTheme="majorEastAsia"/>
                <w:noProof/>
              </w:rPr>
              <w:t>1.7.1</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Continuité de la prestation</w:t>
            </w:r>
            <w:r w:rsidR="00EB7BF5">
              <w:rPr>
                <w:noProof/>
                <w:webHidden/>
              </w:rPr>
              <w:tab/>
            </w:r>
            <w:r w:rsidR="00EB7BF5">
              <w:rPr>
                <w:noProof/>
                <w:webHidden/>
              </w:rPr>
              <w:fldChar w:fldCharType="begin"/>
            </w:r>
            <w:r w:rsidR="00EB7BF5">
              <w:rPr>
                <w:noProof/>
                <w:webHidden/>
              </w:rPr>
              <w:instrText xml:space="preserve"> PAGEREF _Toc437333474 \h </w:instrText>
            </w:r>
            <w:r w:rsidR="00EB7BF5">
              <w:rPr>
                <w:noProof/>
                <w:webHidden/>
              </w:rPr>
            </w:r>
            <w:r w:rsidR="00EB7BF5">
              <w:rPr>
                <w:noProof/>
                <w:webHidden/>
              </w:rPr>
              <w:fldChar w:fldCharType="separate"/>
            </w:r>
            <w:r w:rsidR="00EB7BF5">
              <w:rPr>
                <w:noProof/>
                <w:webHidden/>
              </w:rPr>
              <w:t>5</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75" w:history="1">
            <w:r w:rsidR="00EB7BF5" w:rsidRPr="00B95132">
              <w:rPr>
                <w:rStyle w:val="Lienhypertexte"/>
                <w:rFonts w:eastAsiaTheme="majorEastAsia"/>
                <w:noProof/>
              </w:rPr>
              <w:t>1.7.2</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Justification de la prestation</w:t>
            </w:r>
            <w:r w:rsidR="00EB7BF5">
              <w:rPr>
                <w:noProof/>
                <w:webHidden/>
              </w:rPr>
              <w:tab/>
            </w:r>
            <w:r w:rsidR="00EB7BF5">
              <w:rPr>
                <w:noProof/>
                <w:webHidden/>
              </w:rPr>
              <w:fldChar w:fldCharType="begin"/>
            </w:r>
            <w:r w:rsidR="00EB7BF5">
              <w:rPr>
                <w:noProof/>
                <w:webHidden/>
              </w:rPr>
              <w:instrText xml:space="preserve"> PAGEREF _Toc437333475 \h </w:instrText>
            </w:r>
            <w:r w:rsidR="00EB7BF5">
              <w:rPr>
                <w:noProof/>
                <w:webHidden/>
              </w:rPr>
            </w:r>
            <w:r w:rsidR="00EB7BF5">
              <w:rPr>
                <w:noProof/>
                <w:webHidden/>
              </w:rPr>
              <w:fldChar w:fldCharType="separate"/>
            </w:r>
            <w:r w:rsidR="00EB7BF5">
              <w:rPr>
                <w:noProof/>
                <w:webHidden/>
              </w:rPr>
              <w:t>5</w:t>
            </w:r>
            <w:r w:rsidR="00EB7BF5">
              <w:rPr>
                <w:noProof/>
                <w:webHidden/>
              </w:rPr>
              <w:fldChar w:fldCharType="end"/>
            </w:r>
          </w:hyperlink>
        </w:p>
        <w:p w:rsidR="00EB7BF5" w:rsidRDefault="00924285">
          <w:pPr>
            <w:pStyle w:val="TM3"/>
            <w:tabs>
              <w:tab w:val="left" w:pos="1100"/>
              <w:tab w:val="right" w:leader="dot" w:pos="9062"/>
            </w:tabs>
            <w:rPr>
              <w:rFonts w:asciiTheme="minorHAnsi" w:eastAsiaTheme="minorEastAsia" w:hAnsiTheme="minorHAnsi" w:cstheme="minorBidi"/>
              <w:noProof/>
              <w:sz w:val="22"/>
              <w:szCs w:val="22"/>
            </w:rPr>
          </w:pPr>
          <w:hyperlink w:anchor="_Toc437333476" w:history="1">
            <w:r w:rsidR="00EB7BF5" w:rsidRPr="00B95132">
              <w:rPr>
                <w:rStyle w:val="Lienhypertexte"/>
                <w:rFonts w:eastAsiaTheme="majorEastAsia"/>
                <w:noProof/>
              </w:rPr>
              <w:t>1.7.3</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Assurance</w:t>
            </w:r>
            <w:r w:rsidR="00EB7BF5">
              <w:rPr>
                <w:noProof/>
                <w:webHidden/>
              </w:rPr>
              <w:tab/>
            </w:r>
            <w:r w:rsidR="00EB7BF5">
              <w:rPr>
                <w:noProof/>
                <w:webHidden/>
              </w:rPr>
              <w:fldChar w:fldCharType="begin"/>
            </w:r>
            <w:r w:rsidR="00EB7BF5">
              <w:rPr>
                <w:noProof/>
                <w:webHidden/>
              </w:rPr>
              <w:instrText xml:space="preserve"> PAGEREF _Toc437333476 \h </w:instrText>
            </w:r>
            <w:r w:rsidR="00EB7BF5">
              <w:rPr>
                <w:noProof/>
                <w:webHidden/>
              </w:rPr>
            </w:r>
            <w:r w:rsidR="00EB7BF5">
              <w:rPr>
                <w:noProof/>
                <w:webHidden/>
              </w:rPr>
              <w:fldChar w:fldCharType="separate"/>
            </w:r>
            <w:r w:rsidR="00EB7BF5">
              <w:rPr>
                <w:noProof/>
                <w:webHidden/>
              </w:rPr>
              <w:t>5</w:t>
            </w:r>
            <w:r w:rsidR="00EB7BF5">
              <w:rPr>
                <w:noProof/>
                <w:webHidden/>
              </w:rPr>
              <w:fldChar w:fldCharType="end"/>
            </w:r>
          </w:hyperlink>
        </w:p>
        <w:p w:rsidR="00EB7BF5" w:rsidRDefault="00924285">
          <w:pPr>
            <w:pStyle w:val="TM2"/>
            <w:tabs>
              <w:tab w:val="left" w:pos="880"/>
              <w:tab w:val="right" w:leader="dot" w:pos="9062"/>
            </w:tabs>
            <w:rPr>
              <w:rFonts w:asciiTheme="minorHAnsi" w:eastAsiaTheme="minorEastAsia" w:hAnsiTheme="minorHAnsi" w:cstheme="minorBidi"/>
              <w:noProof/>
              <w:sz w:val="22"/>
              <w:szCs w:val="22"/>
            </w:rPr>
          </w:pPr>
          <w:hyperlink w:anchor="_Toc437333477" w:history="1">
            <w:r w:rsidR="00EB7BF5" w:rsidRPr="00B95132">
              <w:rPr>
                <w:rStyle w:val="Lienhypertexte"/>
                <w:rFonts w:eastAsiaTheme="majorEastAsia"/>
                <w:noProof/>
              </w:rPr>
              <w:t>1.8</w:t>
            </w:r>
            <w:r w:rsidR="00EB7BF5">
              <w:rPr>
                <w:rFonts w:asciiTheme="minorHAnsi" w:eastAsiaTheme="minorEastAsia" w:hAnsiTheme="minorHAnsi" w:cstheme="minorBidi"/>
                <w:noProof/>
                <w:sz w:val="22"/>
                <w:szCs w:val="22"/>
              </w:rPr>
              <w:tab/>
            </w:r>
            <w:r w:rsidR="00EB7BF5" w:rsidRPr="00B95132">
              <w:rPr>
                <w:rStyle w:val="Lienhypertexte"/>
                <w:rFonts w:eastAsiaTheme="majorEastAsia"/>
                <w:noProof/>
              </w:rPr>
              <w:t>Renseignements complémentaires</w:t>
            </w:r>
            <w:r w:rsidR="00EB7BF5">
              <w:rPr>
                <w:noProof/>
                <w:webHidden/>
              </w:rPr>
              <w:tab/>
            </w:r>
            <w:r w:rsidR="00EB7BF5">
              <w:rPr>
                <w:noProof/>
                <w:webHidden/>
              </w:rPr>
              <w:fldChar w:fldCharType="begin"/>
            </w:r>
            <w:r w:rsidR="00EB7BF5">
              <w:rPr>
                <w:noProof/>
                <w:webHidden/>
              </w:rPr>
              <w:instrText xml:space="preserve"> PAGEREF _Toc437333477 \h </w:instrText>
            </w:r>
            <w:r w:rsidR="00EB7BF5">
              <w:rPr>
                <w:noProof/>
                <w:webHidden/>
              </w:rPr>
            </w:r>
            <w:r w:rsidR="00EB7BF5">
              <w:rPr>
                <w:noProof/>
                <w:webHidden/>
              </w:rPr>
              <w:fldChar w:fldCharType="separate"/>
            </w:r>
            <w:r w:rsidR="00EB7BF5">
              <w:rPr>
                <w:noProof/>
                <w:webHidden/>
              </w:rPr>
              <w:t>5</w:t>
            </w:r>
            <w:r w:rsidR="00EB7BF5">
              <w:rPr>
                <w:noProof/>
                <w:webHidden/>
              </w:rPr>
              <w:fldChar w:fldCharType="end"/>
            </w:r>
          </w:hyperlink>
        </w:p>
        <w:p w:rsidR="00AA1D9F" w:rsidRDefault="00F21157">
          <w:r>
            <w:fldChar w:fldCharType="end"/>
          </w:r>
        </w:p>
      </w:sdtContent>
    </w:sdt>
    <w:p w:rsidR="00AA1D9F" w:rsidRDefault="00AA1D9F"/>
    <w:p w:rsidR="00AA1D9F" w:rsidRDefault="00AA1D9F">
      <w:pPr>
        <w:sectPr w:rsidR="00AA1D9F" w:rsidSect="00DC659A">
          <w:pgSz w:w="11906" w:h="16838"/>
          <w:pgMar w:top="1417" w:right="1417" w:bottom="1417" w:left="1417" w:header="708" w:footer="708" w:gutter="0"/>
          <w:cols w:space="708"/>
          <w:docGrid w:linePitch="360"/>
        </w:sectPr>
      </w:pPr>
    </w:p>
    <w:p w:rsidR="000407F2" w:rsidRDefault="000407F2" w:rsidP="00EC0E5D">
      <w:pPr>
        <w:pStyle w:val="Titre1"/>
      </w:pPr>
      <w:bookmarkStart w:id="0" w:name="_Toc437333458"/>
      <w:r>
        <w:lastRenderedPageBreak/>
        <w:t>Objet de la consultation</w:t>
      </w:r>
      <w:bookmarkEnd w:id="0"/>
    </w:p>
    <w:p w:rsidR="000407F2" w:rsidRDefault="001C4207" w:rsidP="001C4207">
      <w:pPr>
        <w:pStyle w:val="Titre2"/>
      </w:pPr>
      <w:bookmarkStart w:id="1" w:name="_Toc437333459"/>
      <w:r>
        <w:t>Objet du marché – dispositions générales</w:t>
      </w:r>
      <w:bookmarkEnd w:id="1"/>
    </w:p>
    <w:p w:rsidR="001C4207" w:rsidRDefault="001C4207" w:rsidP="001C4207">
      <w:pPr>
        <w:pStyle w:val="Titre3"/>
      </w:pPr>
      <w:bookmarkStart w:id="2" w:name="_Toc437333460"/>
      <w:r>
        <w:t>Objet du marché</w:t>
      </w:r>
      <w:bookmarkEnd w:id="2"/>
    </w:p>
    <w:p w:rsidR="0070389F" w:rsidRDefault="0070389F" w:rsidP="0070389F">
      <w:r>
        <w:t>Le présent marché a pour objet la fourniture des produits d’entretien des locaux et surfaces des structures gérées par le SIVU des rives de l’Elorn.</w:t>
      </w:r>
    </w:p>
    <w:p w:rsidR="00DE6FDF" w:rsidRDefault="00DE6FDF" w:rsidP="00DE6FDF">
      <w:pPr>
        <w:pStyle w:val="Titre3"/>
      </w:pPr>
      <w:bookmarkStart w:id="3" w:name="_Toc437333461"/>
      <w:r>
        <w:t>Mode de passation</w:t>
      </w:r>
      <w:bookmarkEnd w:id="3"/>
    </w:p>
    <w:p w:rsidR="00DE6FDF" w:rsidRDefault="00DE6FDF" w:rsidP="00DE6FDF">
      <w:r>
        <w:t>La procédure est une procédure adaptée au sens de l’article 28 du code des marchés publics. Le marché fixera la nature et le prix unitaire des fournitures ou les modalités de sa détermination.</w:t>
      </w:r>
    </w:p>
    <w:p w:rsidR="00DE6FDF" w:rsidRDefault="00DE6FDF" w:rsidP="00DE6FDF">
      <w:pPr>
        <w:pStyle w:val="Titre3"/>
      </w:pPr>
      <w:bookmarkStart w:id="4" w:name="_Toc437333462"/>
      <w:r>
        <w:t>Durée du marché</w:t>
      </w:r>
      <w:bookmarkEnd w:id="4"/>
    </w:p>
    <w:p w:rsidR="00DE6FDF" w:rsidRDefault="00DE6FDF" w:rsidP="00DE6FDF">
      <w:r>
        <w:t>Le marché sera conclu pour une période de 36 mois, du 1</w:t>
      </w:r>
      <w:r w:rsidRPr="00DE6FDF">
        <w:rPr>
          <w:vertAlign w:val="superscript"/>
        </w:rPr>
        <w:t>er</w:t>
      </w:r>
      <w:r>
        <w:t xml:space="preserve"> </w:t>
      </w:r>
      <w:r w:rsidR="0070389F">
        <w:t>avril</w:t>
      </w:r>
      <w:r>
        <w:t xml:space="preserve"> 201</w:t>
      </w:r>
      <w:r w:rsidR="004C026C">
        <w:t>6</w:t>
      </w:r>
      <w:r>
        <w:t xml:space="preserve"> au </w:t>
      </w:r>
      <w:r w:rsidR="004C026C">
        <w:t xml:space="preserve">31 </w:t>
      </w:r>
      <w:r w:rsidR="0070389F">
        <w:t>mars</w:t>
      </w:r>
      <w:r w:rsidR="004C026C">
        <w:t xml:space="preserve"> 2018</w:t>
      </w:r>
      <w:r>
        <w:t>.</w:t>
      </w:r>
    </w:p>
    <w:p w:rsidR="00DE6FDF" w:rsidRDefault="004C026C" w:rsidP="00DE6FDF">
      <w:pPr>
        <w:pStyle w:val="Titre3"/>
      </w:pPr>
      <w:bookmarkStart w:id="5" w:name="_Toc437333463"/>
      <w:r>
        <w:t>Périmètre des prestations</w:t>
      </w:r>
      <w:bookmarkEnd w:id="5"/>
    </w:p>
    <w:p w:rsidR="00DE6FDF" w:rsidRDefault="004C026C" w:rsidP="00DE6FDF">
      <w:r>
        <w:t>Se référer au CCTP.</w:t>
      </w:r>
    </w:p>
    <w:p w:rsidR="00DE6FDF" w:rsidRDefault="00DE6FDF" w:rsidP="00DE6FDF">
      <w:pPr>
        <w:pStyle w:val="Titre3"/>
      </w:pPr>
      <w:bookmarkStart w:id="6" w:name="_Toc437333464"/>
      <w:r>
        <w:t>Division en lots</w:t>
      </w:r>
      <w:bookmarkEnd w:id="6"/>
    </w:p>
    <w:p w:rsidR="00DE6FDF" w:rsidRDefault="00DE6FDF" w:rsidP="00DE6FDF">
      <w:r>
        <w:t xml:space="preserve">Le </w:t>
      </w:r>
      <w:r w:rsidR="004C026C">
        <w:t>marché n’est pas divisé en lots</w:t>
      </w:r>
      <w:r>
        <w:t>.</w:t>
      </w:r>
    </w:p>
    <w:p w:rsidR="00DE6FDF" w:rsidRDefault="00DE6FDF" w:rsidP="00DE6FDF">
      <w:pPr>
        <w:pStyle w:val="Titre3"/>
      </w:pPr>
      <w:bookmarkStart w:id="7" w:name="_Toc437333465"/>
      <w:r>
        <w:t>Modification de détail au dossier de consultation</w:t>
      </w:r>
      <w:bookmarkEnd w:id="7"/>
    </w:p>
    <w:p w:rsidR="0049494F" w:rsidRDefault="004C026C" w:rsidP="0049494F">
      <w:r>
        <w:t>Sans objet.</w:t>
      </w:r>
    </w:p>
    <w:p w:rsidR="00DE6FDF" w:rsidRDefault="00DE6FDF" w:rsidP="00DE6FDF">
      <w:pPr>
        <w:pStyle w:val="Titre2"/>
      </w:pPr>
      <w:bookmarkStart w:id="8" w:name="_Toc437333466"/>
      <w:r>
        <w:t>Délai de validité des offres</w:t>
      </w:r>
      <w:bookmarkEnd w:id="8"/>
    </w:p>
    <w:p w:rsidR="00DE6FDF" w:rsidRDefault="007A2406" w:rsidP="00DE6FDF">
      <w:r>
        <w:t>Les offres formulées seront valides 3 mois à compter de leur réception par l’acheteur.</w:t>
      </w:r>
    </w:p>
    <w:p w:rsidR="007A2406" w:rsidRDefault="007A2406" w:rsidP="007A2406">
      <w:pPr>
        <w:pStyle w:val="Titre2"/>
      </w:pPr>
      <w:bookmarkStart w:id="9" w:name="_Toc437333467"/>
      <w:r>
        <w:t>Dossier de consultation</w:t>
      </w:r>
      <w:bookmarkEnd w:id="9"/>
    </w:p>
    <w:p w:rsidR="007A2406" w:rsidRDefault="007A2406" w:rsidP="007A2406">
      <w:r>
        <w:t>Le dossier de consultation est adressé gratuitement à tout candidat qui en fera la demande. Il comprend les pièces suivantes :</w:t>
      </w:r>
    </w:p>
    <w:p w:rsidR="007A2406" w:rsidRDefault="007A2406" w:rsidP="007A2406">
      <w:pPr>
        <w:pStyle w:val="Paragraphedeliste"/>
        <w:numPr>
          <w:ilvl w:val="0"/>
          <w:numId w:val="14"/>
        </w:numPr>
      </w:pPr>
      <w:r>
        <w:t>Le présent règlement de consultation</w:t>
      </w:r>
    </w:p>
    <w:p w:rsidR="007A2406" w:rsidRDefault="007A2406" w:rsidP="007A2406">
      <w:pPr>
        <w:pStyle w:val="Paragraphedeliste"/>
        <w:numPr>
          <w:ilvl w:val="0"/>
          <w:numId w:val="14"/>
        </w:numPr>
      </w:pPr>
      <w:r>
        <w:t>Le cahier des clauses techniques particulières (CCTP)</w:t>
      </w:r>
    </w:p>
    <w:p w:rsidR="007A2406" w:rsidRDefault="007A2406" w:rsidP="007A2406">
      <w:pPr>
        <w:pStyle w:val="Paragraphedeliste"/>
        <w:numPr>
          <w:ilvl w:val="0"/>
          <w:numId w:val="14"/>
        </w:numPr>
      </w:pPr>
      <w:r>
        <w:t>L’annexe avec le détail estimatif par site</w:t>
      </w:r>
    </w:p>
    <w:p w:rsidR="007A2406" w:rsidRDefault="007A2406" w:rsidP="007A2406">
      <w:pPr>
        <w:pStyle w:val="Titre2"/>
      </w:pPr>
      <w:bookmarkStart w:id="10" w:name="_Toc437333468"/>
      <w:r>
        <w:t>Présentation des candidatures et des offres</w:t>
      </w:r>
      <w:bookmarkEnd w:id="10"/>
    </w:p>
    <w:p w:rsidR="007A2406" w:rsidRDefault="007A2406" w:rsidP="007A2406">
      <w:r>
        <w:t>Les candidats produisent un dossier complet et rédigé en langue française.</w:t>
      </w:r>
    </w:p>
    <w:p w:rsidR="007A2406" w:rsidRDefault="007A2406" w:rsidP="007A2406">
      <w:r>
        <w:t>Celui-ci comprend les pièces suivantes :</w:t>
      </w:r>
    </w:p>
    <w:p w:rsidR="007A2406" w:rsidRDefault="009638CE" w:rsidP="009638CE">
      <w:pPr>
        <w:pStyle w:val="Titre3"/>
      </w:pPr>
      <w:bookmarkStart w:id="11" w:name="_Toc437333469"/>
      <w:r>
        <w:t>Les déclarations et justificatifs suivants</w:t>
      </w:r>
      <w:bookmarkEnd w:id="11"/>
    </w:p>
    <w:p w:rsidR="009638CE" w:rsidRPr="000366EB" w:rsidRDefault="009638CE" w:rsidP="009638CE">
      <w:pPr>
        <w:pStyle w:val="Paragraphedeliste"/>
        <w:numPr>
          <w:ilvl w:val="0"/>
          <w:numId w:val="16"/>
        </w:numPr>
        <w:rPr>
          <w:b/>
        </w:rPr>
      </w:pPr>
      <w:r w:rsidRPr="000366EB">
        <w:rPr>
          <w:b/>
        </w:rPr>
        <w:t>Lettre de candidature (imprimé DC1)</w:t>
      </w:r>
    </w:p>
    <w:p w:rsidR="009638CE" w:rsidRDefault="009638CE" w:rsidP="009638CE">
      <w:pPr>
        <w:pStyle w:val="Paragraphedeliste"/>
        <w:numPr>
          <w:ilvl w:val="0"/>
          <w:numId w:val="16"/>
        </w:numPr>
        <w:rPr>
          <w:b/>
        </w:rPr>
      </w:pPr>
      <w:r w:rsidRPr="000366EB">
        <w:rPr>
          <w:b/>
        </w:rPr>
        <w:t>Déclaration du candidat (imprimé DC2)</w:t>
      </w:r>
    </w:p>
    <w:p w:rsidR="008E199F" w:rsidRDefault="008E199F" w:rsidP="009638CE">
      <w:pPr>
        <w:pStyle w:val="Paragraphedeliste"/>
        <w:numPr>
          <w:ilvl w:val="0"/>
          <w:numId w:val="16"/>
        </w:numPr>
        <w:rPr>
          <w:b/>
        </w:rPr>
      </w:pPr>
      <w:r>
        <w:rPr>
          <w:b/>
        </w:rPr>
        <w:lastRenderedPageBreak/>
        <w:t>L’acte d’engagement (imprimé DC3)</w:t>
      </w:r>
    </w:p>
    <w:p w:rsidR="008E199F" w:rsidRPr="000366EB" w:rsidRDefault="008E199F" w:rsidP="009638CE">
      <w:pPr>
        <w:pStyle w:val="Paragraphedeliste"/>
        <w:numPr>
          <w:ilvl w:val="0"/>
          <w:numId w:val="16"/>
        </w:numPr>
        <w:rPr>
          <w:b/>
        </w:rPr>
      </w:pPr>
      <w:r>
        <w:rPr>
          <w:b/>
        </w:rPr>
        <w:t>Le CCTP signé du candidat</w:t>
      </w:r>
    </w:p>
    <w:p w:rsidR="009638CE" w:rsidRDefault="009638CE" w:rsidP="009638CE">
      <w:r>
        <w:t>Pour mémoire, cette déclaration comporte les renseignements prévus par la loi n° 2005-102 du 11 février 2005 (article 45 du code des marchés publics).</w:t>
      </w:r>
    </w:p>
    <w:p w:rsidR="009638CE" w:rsidRDefault="009638CE" w:rsidP="009638CE">
      <w:r>
        <w:t>1° des renseignements permettant d’évaluer les capacités professionnelles, techniques et financières du candidat et des documents relatifs aux pouvoirs de la personne habilitée pour l’engager. Au titre de ses capacités professionnelles, peuvent figurer des renseignements sur le savoir-faire des candidats en matière de protection de l’environnement et sur le respect de l’obligation d’emploi mentionnée à l’article L.323-1 du code du travail.</w:t>
      </w:r>
    </w:p>
    <w:p w:rsidR="009638CE" w:rsidRDefault="009638CE" w:rsidP="009638CE">
      <w:r>
        <w:t>2° si le candidat est en redress</w:t>
      </w:r>
      <w:r w:rsidR="0049494F">
        <w:t>em</w:t>
      </w:r>
      <w:r>
        <w:t>ent judiciaire, la copie du ou des jugements prononcés à cet effet.</w:t>
      </w:r>
    </w:p>
    <w:p w:rsidR="009638CE" w:rsidRDefault="009638CE" w:rsidP="009638CE">
      <w:r>
        <w:t>3° une déclaration sur l’honneur, dûment datée et signée par le candidat, pour justifier :</w:t>
      </w:r>
    </w:p>
    <w:p w:rsidR="009638CE" w:rsidRDefault="009638CE" w:rsidP="000366EB">
      <w:pPr>
        <w:pStyle w:val="Paragraphedeliste"/>
        <w:numPr>
          <w:ilvl w:val="0"/>
          <w:numId w:val="18"/>
        </w:numPr>
        <w:ind w:left="1066" w:hanging="357"/>
      </w:pPr>
      <w:r>
        <w:t>Qu’il a satisfait aux obligations fiscales et sociales</w:t>
      </w:r>
    </w:p>
    <w:p w:rsidR="009638CE" w:rsidRDefault="009638CE" w:rsidP="000366EB">
      <w:pPr>
        <w:pStyle w:val="Paragraphedeliste"/>
        <w:numPr>
          <w:ilvl w:val="0"/>
          <w:numId w:val="18"/>
        </w:numPr>
        <w:ind w:left="1066" w:hanging="357"/>
      </w:pPr>
      <w:r>
        <w:t>Qu’il n’a pas fait l’objet d’une interdiction de concourir,</w:t>
      </w:r>
    </w:p>
    <w:p w:rsidR="009638CE" w:rsidRDefault="009638CE" w:rsidP="000366EB">
      <w:pPr>
        <w:pStyle w:val="Paragraphedeliste"/>
        <w:numPr>
          <w:ilvl w:val="0"/>
          <w:numId w:val="18"/>
        </w:numPr>
        <w:ind w:left="1066" w:hanging="357"/>
      </w:pPr>
      <w:r>
        <w:t>Qu’il n’a pas fait l’objet, au cours des cinq dernières années, d’une condamnation inscrite au bulletin n°2 du casier judiciaire pour infractions visées aux articles L.324-9, L.324-10, L.341-6, L.125-1 et L.125-3 du code du travail.</w:t>
      </w:r>
    </w:p>
    <w:p w:rsidR="009638CE" w:rsidRPr="000366EB" w:rsidRDefault="000366EB" w:rsidP="000366EB">
      <w:pPr>
        <w:pStyle w:val="Paragraphedeliste"/>
        <w:numPr>
          <w:ilvl w:val="0"/>
          <w:numId w:val="19"/>
        </w:numPr>
        <w:ind w:hanging="357"/>
        <w:contextualSpacing w:val="0"/>
        <w:rPr>
          <w:b/>
        </w:rPr>
      </w:pPr>
      <w:r w:rsidRPr="000366EB">
        <w:rPr>
          <w:b/>
        </w:rPr>
        <w:t>Attestation d’assurance responsabilité civile</w:t>
      </w:r>
    </w:p>
    <w:p w:rsidR="000366EB" w:rsidRDefault="000366EB" w:rsidP="000366EB">
      <w:r>
        <w:t xml:space="preserve">L’assurance doit couvrir la réparation de tous les dommages humains, matériels et financiers causés par une faute professionnelle, intentionnelle ou non, résultant d’une </w:t>
      </w:r>
      <w:r w:rsidR="004C026C">
        <w:t>prestation réalisée</w:t>
      </w:r>
      <w:r>
        <w:t xml:space="preserve"> au titre du présent marché.</w:t>
      </w:r>
    </w:p>
    <w:p w:rsidR="000366EB" w:rsidRDefault="000366EB" w:rsidP="000366EB">
      <w:pPr>
        <w:pStyle w:val="Titre3"/>
      </w:pPr>
      <w:bookmarkStart w:id="12" w:name="_Toc437333470"/>
      <w:r>
        <w:t>L’Acte d’Engagement (imprimé DC3)</w:t>
      </w:r>
      <w:bookmarkEnd w:id="12"/>
    </w:p>
    <w:p w:rsidR="004C026C" w:rsidRDefault="000366EB" w:rsidP="000366EB">
      <w:r>
        <w:t xml:space="preserve">Avec le projet de contrat, le modèle de facture avec détail. </w:t>
      </w:r>
    </w:p>
    <w:p w:rsidR="000366EB" w:rsidRDefault="000366EB" w:rsidP="000366EB">
      <w:r>
        <w:t>Doivent en partie être détaillés :</w:t>
      </w:r>
    </w:p>
    <w:p w:rsidR="004C026C" w:rsidRDefault="004C026C" w:rsidP="000366EB">
      <w:pPr>
        <w:pStyle w:val="Paragraphedeliste"/>
        <w:numPr>
          <w:ilvl w:val="0"/>
          <w:numId w:val="19"/>
        </w:numPr>
      </w:pPr>
      <w:r>
        <w:t>Le tarif des prestations hors taxe</w:t>
      </w:r>
    </w:p>
    <w:p w:rsidR="000366EB" w:rsidRDefault="000366EB" w:rsidP="000366EB">
      <w:pPr>
        <w:pStyle w:val="Paragraphedeliste"/>
        <w:numPr>
          <w:ilvl w:val="0"/>
          <w:numId w:val="19"/>
        </w:numPr>
      </w:pPr>
      <w:r>
        <w:t>La TVA</w:t>
      </w:r>
    </w:p>
    <w:p w:rsidR="000366EB" w:rsidRDefault="0070389F" w:rsidP="000366EB">
      <w:r>
        <w:t>Le tableau</w:t>
      </w:r>
      <w:r w:rsidR="000366EB">
        <w:t xml:space="preserve"> </w:t>
      </w:r>
      <w:r w:rsidR="00924285">
        <w:t xml:space="preserve">de prix </w:t>
      </w:r>
      <w:bookmarkStart w:id="13" w:name="_GoBack"/>
      <w:bookmarkEnd w:id="13"/>
      <w:r w:rsidR="000366EB">
        <w:t xml:space="preserve">en annexe </w:t>
      </w:r>
      <w:r w:rsidR="004C026C">
        <w:t xml:space="preserve">du CCTP </w:t>
      </w:r>
      <w:r>
        <w:t>devra</w:t>
      </w:r>
      <w:r w:rsidR="000366EB">
        <w:t xml:space="preserve"> être </w:t>
      </w:r>
      <w:r>
        <w:t>complété</w:t>
      </w:r>
      <w:r w:rsidR="000366EB">
        <w:t>.</w:t>
      </w:r>
    </w:p>
    <w:p w:rsidR="00EF3C91" w:rsidRDefault="00EF3C91" w:rsidP="00EF3C91">
      <w:pPr>
        <w:pStyle w:val="Titre2"/>
      </w:pPr>
      <w:bookmarkStart w:id="14" w:name="_Toc437333471"/>
      <w:r>
        <w:t>Conditions d’envoi ou de remise des offres</w:t>
      </w:r>
      <w:bookmarkEnd w:id="14"/>
    </w:p>
    <w:p w:rsidR="00EF3C91" w:rsidRPr="00820FF9" w:rsidRDefault="00EF3C91" w:rsidP="00EF3C91">
      <w:pPr>
        <w:rPr>
          <w:b/>
          <w:color w:val="FF0000"/>
        </w:rPr>
      </w:pPr>
      <w:r w:rsidRPr="00820FF9">
        <w:rPr>
          <w:b/>
          <w:color w:val="FF0000"/>
        </w:rPr>
        <w:t xml:space="preserve">La date limite de réception des offres est le </w:t>
      </w:r>
      <w:r w:rsidR="0070389F">
        <w:rPr>
          <w:b/>
          <w:color w:val="FF0000"/>
          <w:u w:val="single"/>
        </w:rPr>
        <w:t>5 février</w:t>
      </w:r>
      <w:r w:rsidRPr="00820FF9">
        <w:rPr>
          <w:b/>
          <w:color w:val="FF0000"/>
          <w:u w:val="single"/>
        </w:rPr>
        <w:t xml:space="preserve"> 201</w:t>
      </w:r>
      <w:r w:rsidR="0070389F">
        <w:rPr>
          <w:b/>
          <w:color w:val="FF0000"/>
          <w:u w:val="single"/>
        </w:rPr>
        <w:t>6</w:t>
      </w:r>
      <w:r w:rsidRPr="00820FF9">
        <w:rPr>
          <w:b/>
          <w:color w:val="FF0000"/>
          <w:u w:val="single"/>
        </w:rPr>
        <w:t xml:space="preserve"> à 12h00</w:t>
      </w:r>
      <w:r w:rsidRPr="00820FF9">
        <w:rPr>
          <w:b/>
          <w:color w:val="FF0000"/>
        </w:rPr>
        <w:t>, délai de rigueur.</w:t>
      </w:r>
    </w:p>
    <w:p w:rsidR="00EF3C91" w:rsidRDefault="00EF3C91" w:rsidP="00EF3C91">
      <w:r>
        <w:t>Les offres qui seraient réceptionnées après la date et l’heure limite ci-dessus ne seront pas retenues, et seront renvoyées sans avoir été décachetées.</w:t>
      </w:r>
    </w:p>
    <w:p w:rsidR="00EF3C91" w:rsidRDefault="00EF3C91" w:rsidP="00EF3C91">
      <w:r>
        <w:t xml:space="preserve">Les candidats doivent transmettre leur offre sous pli cacheté portant la mention « ne pas ouvrir – Appel d’offre </w:t>
      </w:r>
      <w:r w:rsidR="0070389F">
        <w:t>fourniture de produits d’entretien</w:t>
      </w:r>
      <w:r>
        <w:t> ». L’enveloppe contient les documents indiqués ci-dessus en 1.4.1  et en 1.4.2, donc la candidature et l’offre.</w:t>
      </w:r>
    </w:p>
    <w:p w:rsidR="00EF3C91" w:rsidRDefault="00EF3C91" w:rsidP="00EF3C91">
      <w:r>
        <w:t xml:space="preserve">Les offres </w:t>
      </w:r>
      <w:r w:rsidR="004C026C">
        <w:t>peuvent être</w:t>
      </w:r>
      <w:r>
        <w:t xml:space="preserve"> reçues sous forme électronique.</w:t>
      </w:r>
    </w:p>
    <w:p w:rsidR="00EF3C91" w:rsidRDefault="00EF3C91" w:rsidP="00EF3C91">
      <w:pPr>
        <w:pStyle w:val="Titre2"/>
      </w:pPr>
      <w:bookmarkStart w:id="15" w:name="_Toc437333472"/>
      <w:r>
        <w:lastRenderedPageBreak/>
        <w:t>Jugement des offres et attribution définitive</w:t>
      </w:r>
      <w:bookmarkEnd w:id="15"/>
    </w:p>
    <w:p w:rsidR="00EF3C91" w:rsidRDefault="00EF3C91" w:rsidP="00EF3C91">
      <w:r>
        <w:t>Seuls les plis reçus dans les conditions prévues à l’article 1.5 seront examinées. A l’ouverture de l’enveloppe, la personne responsable du marché élimine les candidats qui n’ont pas qualité pour présenter une offre ou dont les capacités techniques, professionnelles et financières paraissent insuffisantes.</w:t>
      </w:r>
    </w:p>
    <w:p w:rsidR="00EF3C91" w:rsidRDefault="00EF3C91" w:rsidP="00EF3C91">
      <w:r>
        <w:t>Les documents contenus dans l’enveloppe doivent permettre le choix des offres, pour lequel les critères de jugements suivants de l’offre économiquement la plus avantageuse seront entendus par ordre d’importance décroissant.</w:t>
      </w:r>
    </w:p>
    <w:tbl>
      <w:tblPr>
        <w:tblStyle w:val="Grilledutableau"/>
        <w:tblW w:w="0" w:type="auto"/>
        <w:tblLook w:val="04A0" w:firstRow="1" w:lastRow="0" w:firstColumn="1" w:lastColumn="0" w:noHBand="0" w:noVBand="1"/>
      </w:tblPr>
      <w:tblGrid>
        <w:gridCol w:w="7905"/>
        <w:gridCol w:w="1383"/>
      </w:tblGrid>
      <w:tr w:rsidR="00EF3C91" w:rsidRPr="007D5011" w:rsidTr="007D5011">
        <w:tc>
          <w:tcPr>
            <w:tcW w:w="7905" w:type="dxa"/>
            <w:vAlign w:val="center"/>
          </w:tcPr>
          <w:p w:rsidR="00EF3C91" w:rsidRPr="007D5011" w:rsidRDefault="00EF3C91" w:rsidP="00EF3C91">
            <w:pPr>
              <w:spacing w:before="120"/>
              <w:rPr>
                <w:b/>
              </w:rPr>
            </w:pPr>
            <w:r w:rsidRPr="007D5011">
              <w:rPr>
                <w:b/>
              </w:rPr>
              <w:t>Critère d’attribution</w:t>
            </w:r>
          </w:p>
        </w:tc>
        <w:tc>
          <w:tcPr>
            <w:tcW w:w="1307" w:type="dxa"/>
            <w:vAlign w:val="center"/>
          </w:tcPr>
          <w:p w:rsidR="00EF3C91" w:rsidRPr="007D5011" w:rsidRDefault="00EF3C91" w:rsidP="00EF3C91">
            <w:pPr>
              <w:spacing w:before="120"/>
              <w:rPr>
                <w:b/>
              </w:rPr>
            </w:pPr>
            <w:r w:rsidRPr="007D5011">
              <w:rPr>
                <w:b/>
              </w:rPr>
              <w:t>Pondération</w:t>
            </w:r>
          </w:p>
        </w:tc>
      </w:tr>
      <w:tr w:rsidR="00EF3C91" w:rsidTr="007D5011">
        <w:tc>
          <w:tcPr>
            <w:tcW w:w="7905" w:type="dxa"/>
            <w:vAlign w:val="center"/>
          </w:tcPr>
          <w:p w:rsidR="00EF3C91" w:rsidRDefault="00EF3C91" w:rsidP="004C026C">
            <w:pPr>
              <w:spacing w:before="120"/>
            </w:pPr>
            <w:r>
              <w:t>Prix des prestations</w:t>
            </w:r>
          </w:p>
        </w:tc>
        <w:tc>
          <w:tcPr>
            <w:tcW w:w="1307" w:type="dxa"/>
            <w:vAlign w:val="center"/>
          </w:tcPr>
          <w:p w:rsidR="00EF3C91" w:rsidRDefault="007D5011" w:rsidP="00EF3C91">
            <w:pPr>
              <w:spacing w:before="120"/>
            </w:pPr>
            <w:r>
              <w:t>60%</w:t>
            </w:r>
          </w:p>
        </w:tc>
      </w:tr>
      <w:tr w:rsidR="00EF3C91" w:rsidTr="007D5011">
        <w:tc>
          <w:tcPr>
            <w:tcW w:w="7905" w:type="dxa"/>
            <w:vAlign w:val="center"/>
          </w:tcPr>
          <w:p w:rsidR="007D5011" w:rsidRDefault="007D5011" w:rsidP="00382824">
            <w:pPr>
              <w:spacing w:before="120"/>
            </w:pPr>
            <w:r>
              <w:t>Adéquation aux spécifications du dossier de consultation</w:t>
            </w:r>
          </w:p>
        </w:tc>
        <w:tc>
          <w:tcPr>
            <w:tcW w:w="1307" w:type="dxa"/>
            <w:vAlign w:val="center"/>
          </w:tcPr>
          <w:p w:rsidR="00EF3C91" w:rsidRDefault="007D5011" w:rsidP="00EF3C91">
            <w:pPr>
              <w:spacing w:before="120"/>
            </w:pPr>
            <w:r>
              <w:t>40%</w:t>
            </w:r>
          </w:p>
        </w:tc>
      </w:tr>
    </w:tbl>
    <w:p w:rsidR="00EF3C91" w:rsidRDefault="007D5011" w:rsidP="00EF3C91">
      <w:r>
        <w:t>La personne responsable du marché peut demander à des candidats de préciser certains points de leur offre.</w:t>
      </w:r>
    </w:p>
    <w:p w:rsidR="007D5011" w:rsidRDefault="007D5011" w:rsidP="007D5011">
      <w:pPr>
        <w:pStyle w:val="Titre2"/>
      </w:pPr>
      <w:bookmarkStart w:id="16" w:name="_Toc437333473"/>
      <w:r>
        <w:t>Modalités d’exécution</w:t>
      </w:r>
      <w:bookmarkEnd w:id="16"/>
      <w:r>
        <w:t xml:space="preserve"> </w:t>
      </w:r>
    </w:p>
    <w:p w:rsidR="007D5011" w:rsidRDefault="007D5011" w:rsidP="007D5011">
      <w:pPr>
        <w:pStyle w:val="Titre3"/>
      </w:pPr>
      <w:bookmarkStart w:id="17" w:name="_Toc437333474"/>
      <w:r>
        <w:t xml:space="preserve">Continuité de la </w:t>
      </w:r>
      <w:r w:rsidR="00713F04">
        <w:t>prestation</w:t>
      </w:r>
      <w:bookmarkEnd w:id="17"/>
    </w:p>
    <w:p w:rsidR="007D5011" w:rsidRDefault="007D5011" w:rsidP="007D5011">
      <w:r>
        <w:t>En cas de grève ou de toute autre indisponibilité, la continuité de</w:t>
      </w:r>
      <w:r w:rsidR="00713F04">
        <w:t>s prestations</w:t>
      </w:r>
      <w:r>
        <w:t xml:space="preserve"> doit être assurée par le titulaire du marché.</w:t>
      </w:r>
    </w:p>
    <w:p w:rsidR="007D5011" w:rsidRDefault="00713F04" w:rsidP="007D5011">
      <w:pPr>
        <w:pStyle w:val="Titre3"/>
      </w:pPr>
      <w:bookmarkStart w:id="18" w:name="_Toc437333475"/>
      <w:r>
        <w:t>Justification de la prestation</w:t>
      </w:r>
      <w:bookmarkEnd w:id="18"/>
    </w:p>
    <w:p w:rsidR="007D5011" w:rsidRDefault="007D5011" w:rsidP="0070389F">
      <w:r>
        <w:t xml:space="preserve">Le titulaire du marché s’engage à </w:t>
      </w:r>
      <w:r w:rsidR="00713F04">
        <w:t>fournir :</w:t>
      </w:r>
    </w:p>
    <w:p w:rsidR="00713F04" w:rsidRDefault="00713F04" w:rsidP="00713F04">
      <w:pPr>
        <w:pStyle w:val="Paragraphedeliste"/>
        <w:numPr>
          <w:ilvl w:val="0"/>
          <w:numId w:val="26"/>
        </w:numPr>
      </w:pPr>
      <w:r>
        <w:t xml:space="preserve">Un bon </w:t>
      </w:r>
      <w:r w:rsidR="0070389F">
        <w:t>de livraison</w:t>
      </w:r>
      <w:r>
        <w:t xml:space="preserve"> précisant </w:t>
      </w:r>
      <w:r w:rsidR="00673B72">
        <w:t>le détail d</w:t>
      </w:r>
      <w:r>
        <w:t xml:space="preserve">es </w:t>
      </w:r>
      <w:r w:rsidR="0070389F">
        <w:t>produits livrés à chaque passage</w:t>
      </w:r>
      <w:r>
        <w:t>.</w:t>
      </w:r>
      <w:r w:rsidR="006104C5">
        <w:t xml:space="preserve"> Ce bon de livraison devra être conforme au bon de commande.</w:t>
      </w:r>
    </w:p>
    <w:p w:rsidR="007D5011" w:rsidRDefault="00985CFA" w:rsidP="007D5011">
      <w:pPr>
        <w:pStyle w:val="Titre3"/>
      </w:pPr>
      <w:bookmarkStart w:id="19" w:name="_Toc437333476"/>
      <w:r>
        <w:t>Assurance</w:t>
      </w:r>
      <w:bookmarkEnd w:id="19"/>
    </w:p>
    <w:p w:rsidR="00985CFA" w:rsidRDefault="00985CFA" w:rsidP="00985CFA">
      <w:r>
        <w:t xml:space="preserve">Le fournisseur doit pouvoir justifier qu’il est titulaire d’une assurance contractée auprès d’une compagnie garantissant sa responsabilité pour couvrir la réparation de tous les dommages humains, matériels et financiers causés par une faute professionnelle, intentionnelle ou non, résultant d’une </w:t>
      </w:r>
      <w:r w:rsidR="00713F04">
        <w:t>intervention</w:t>
      </w:r>
      <w:r>
        <w:t>.</w:t>
      </w:r>
    </w:p>
    <w:p w:rsidR="00985CFA" w:rsidRDefault="00985CFA" w:rsidP="00985CFA">
      <w:pPr>
        <w:pStyle w:val="Titre2"/>
      </w:pPr>
      <w:bookmarkStart w:id="20" w:name="_Toc437333477"/>
      <w:r>
        <w:t>Renseignements complémentaires</w:t>
      </w:r>
      <w:bookmarkEnd w:id="20"/>
    </w:p>
    <w:p w:rsidR="00985CFA" w:rsidRDefault="00985CFA" w:rsidP="00985CFA">
      <w:r>
        <w:t>Pour obtenir tous renseignements qui leur seraient nécessaires au cours de l’étude du dossier de consultation et de l’élaboration de leurs offres, les candidats peuvent s’adresser à Monsieur le Directeur Général</w:t>
      </w:r>
      <w:r w:rsidR="00382824">
        <w:t xml:space="preserve"> ou à Monsieur le Directeur Financier</w:t>
      </w:r>
      <w:r>
        <w:t xml:space="preserve"> du SIVU des rives de l’Elorn.</w:t>
      </w:r>
    </w:p>
    <w:p w:rsidR="00985CFA" w:rsidRDefault="00985CFA" w:rsidP="00985CFA">
      <w:r>
        <w:t>Téléphone : 02 98 84 69 37</w:t>
      </w:r>
    </w:p>
    <w:p w:rsidR="00382824" w:rsidRDefault="00985CFA" w:rsidP="00985CFA">
      <w:r>
        <w:t xml:space="preserve">Mail : </w:t>
      </w:r>
    </w:p>
    <w:p w:rsidR="00985CFA" w:rsidRDefault="00924285" w:rsidP="00985CFA">
      <w:hyperlink r:id="rId9" w:history="1">
        <w:r w:rsidR="00E9768F" w:rsidRPr="007E6C14">
          <w:rPr>
            <w:rStyle w:val="Lienhypertexte"/>
          </w:rPr>
          <w:t>direction@sivu-elorn.fr</w:t>
        </w:r>
      </w:hyperlink>
      <w:r w:rsidR="00382824">
        <w:rPr>
          <w:rStyle w:val="Lienhypertexte"/>
        </w:rPr>
        <w:t xml:space="preserve">; </w:t>
      </w:r>
      <w:r w:rsidR="00382824">
        <w:rPr>
          <w:rStyle w:val="Lienhypertexte"/>
        </w:rPr>
        <w:tab/>
      </w:r>
      <w:r w:rsidR="00382824" w:rsidRPr="00382824">
        <w:rPr>
          <w:rStyle w:val="Lienhypertexte"/>
          <w:u w:val="none"/>
        </w:rPr>
        <w:tab/>
      </w:r>
      <w:r w:rsidR="00382824">
        <w:rPr>
          <w:rStyle w:val="Lienhypertexte"/>
        </w:rPr>
        <w:t>finances@sivu-elorn.fr</w:t>
      </w:r>
    </w:p>
    <w:sectPr w:rsidR="00985CFA" w:rsidSect="001C4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4F" w:rsidRDefault="0049494F" w:rsidP="000407F2">
      <w:pPr>
        <w:spacing w:before="0" w:after="0"/>
      </w:pPr>
      <w:r>
        <w:separator/>
      </w:r>
    </w:p>
  </w:endnote>
  <w:endnote w:type="continuationSeparator" w:id="0">
    <w:p w:rsidR="0049494F" w:rsidRDefault="0049494F" w:rsidP="000407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4F" w:rsidRDefault="0049494F" w:rsidP="000407F2">
      <w:pPr>
        <w:spacing w:before="0" w:after="0"/>
      </w:pPr>
      <w:r>
        <w:separator/>
      </w:r>
    </w:p>
  </w:footnote>
  <w:footnote w:type="continuationSeparator" w:id="0">
    <w:p w:rsidR="0049494F" w:rsidRDefault="0049494F" w:rsidP="000407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94F" w:rsidRDefault="0049494F">
    <w:pPr>
      <w:pStyle w:val="En-tte"/>
    </w:pPr>
    <w:r w:rsidRPr="000407F2">
      <w:rPr>
        <w:noProof/>
      </w:rPr>
      <w:drawing>
        <wp:inline distT="0" distB="0" distL="0" distR="0">
          <wp:extent cx="1466850" cy="1276350"/>
          <wp:effectExtent l="19050" t="0" r="0" b="0"/>
          <wp:docPr id="3" name="Image 1" descr="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dri"/>
                  <pic:cNvPicPr>
                    <a:picLocks noChangeAspect="1" noChangeArrowheads="1"/>
                  </pic:cNvPicPr>
                </pic:nvPicPr>
                <pic:blipFill>
                  <a:blip r:embed="rId1"/>
                  <a:srcRect/>
                  <a:stretch>
                    <a:fillRect/>
                  </a:stretch>
                </pic:blipFill>
                <pic:spPr bwMode="auto">
                  <a:xfrm>
                    <a:off x="0" y="0"/>
                    <a:ext cx="1466850" cy="1276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304"/>
    <w:multiLevelType w:val="multilevel"/>
    <w:tmpl w:val="9CE46046"/>
    <w:lvl w:ilvl="0">
      <w:start w:val="1"/>
      <w:numFmt w:val="decimal"/>
      <w:pStyle w:val="Titre1"/>
      <w:lvlText w:val="Chapitre %1."/>
      <w:lvlJc w:val="left"/>
      <w:pPr>
        <w:ind w:left="360" w:hanging="360"/>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24C5D35"/>
    <w:multiLevelType w:val="hybridMultilevel"/>
    <w:tmpl w:val="17C40CB4"/>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30C84"/>
    <w:multiLevelType w:val="hybridMultilevel"/>
    <w:tmpl w:val="339A2C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903F3"/>
    <w:multiLevelType w:val="hybridMultilevel"/>
    <w:tmpl w:val="3E5A89D0"/>
    <w:lvl w:ilvl="0" w:tplc="AD9A84C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3DD47DB"/>
    <w:multiLevelType w:val="hybridMultilevel"/>
    <w:tmpl w:val="C6682D7C"/>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573F5"/>
    <w:multiLevelType w:val="hybridMultilevel"/>
    <w:tmpl w:val="7B0A958E"/>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6531091"/>
    <w:multiLevelType w:val="hybridMultilevel"/>
    <w:tmpl w:val="5F18A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75466C"/>
    <w:multiLevelType w:val="hybridMultilevel"/>
    <w:tmpl w:val="BCAA41AA"/>
    <w:lvl w:ilvl="0" w:tplc="12E089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647FD1"/>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787F92"/>
    <w:multiLevelType w:val="hybridMultilevel"/>
    <w:tmpl w:val="966AF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8D31F6"/>
    <w:multiLevelType w:val="hybridMultilevel"/>
    <w:tmpl w:val="1AF0C8DE"/>
    <w:lvl w:ilvl="0" w:tplc="BBB0E0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FB7CB5"/>
    <w:multiLevelType w:val="hybridMultilevel"/>
    <w:tmpl w:val="DC58A102"/>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872B04"/>
    <w:multiLevelType w:val="hybridMultilevel"/>
    <w:tmpl w:val="E056D0F8"/>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A357E7"/>
    <w:multiLevelType w:val="hybridMultilevel"/>
    <w:tmpl w:val="0D000336"/>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222642"/>
    <w:multiLevelType w:val="hybridMultilevel"/>
    <w:tmpl w:val="EBA2373C"/>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E606AB"/>
    <w:multiLevelType w:val="hybridMultilevel"/>
    <w:tmpl w:val="FDC058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A1D4A"/>
    <w:multiLevelType w:val="hybridMultilevel"/>
    <w:tmpl w:val="BE344DE8"/>
    <w:lvl w:ilvl="0" w:tplc="0B2CE0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8F1F7D"/>
    <w:multiLevelType w:val="hybridMultilevel"/>
    <w:tmpl w:val="027C9AE6"/>
    <w:lvl w:ilvl="0" w:tplc="5B2E6F0C">
      <w:start w:val="1"/>
      <w:numFmt w:val="decimal"/>
      <w:lvlText w:val="Articl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6B73FF"/>
    <w:multiLevelType w:val="hybridMultilevel"/>
    <w:tmpl w:val="869ECA6C"/>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13F4A"/>
    <w:multiLevelType w:val="hybridMultilevel"/>
    <w:tmpl w:val="4E08DBAC"/>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973C82"/>
    <w:multiLevelType w:val="hybridMultilevel"/>
    <w:tmpl w:val="1862F0CE"/>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04435F"/>
    <w:multiLevelType w:val="hybridMultilevel"/>
    <w:tmpl w:val="A21693F2"/>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646E77"/>
    <w:multiLevelType w:val="hybridMultilevel"/>
    <w:tmpl w:val="D0D044FA"/>
    <w:lvl w:ilvl="0" w:tplc="7F1CB3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1A05CF"/>
    <w:multiLevelType w:val="hybridMultilevel"/>
    <w:tmpl w:val="0B3C80BC"/>
    <w:lvl w:ilvl="0" w:tplc="0B2CE0B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023E1E"/>
    <w:multiLevelType w:val="hybridMultilevel"/>
    <w:tmpl w:val="AF1439FA"/>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7"/>
  </w:num>
  <w:num w:numId="5">
    <w:abstractNumId w:val="8"/>
  </w:num>
  <w:num w:numId="6">
    <w:abstractNumId w:val="0"/>
  </w:num>
  <w:num w:numId="7">
    <w:abstractNumId w:val="1"/>
  </w:num>
  <w:num w:numId="8">
    <w:abstractNumId w:val="16"/>
  </w:num>
  <w:num w:numId="9">
    <w:abstractNumId w:val="23"/>
  </w:num>
  <w:num w:numId="10">
    <w:abstractNumId w:val="4"/>
  </w:num>
  <w:num w:numId="11">
    <w:abstractNumId w:val="0"/>
    <w:lvlOverride w:ilvl="0">
      <w:startOverride w:val="7"/>
    </w:lvlOverride>
    <w:lvlOverride w:ilvl="1">
      <w:startOverride w:val="4"/>
    </w:lvlOverride>
  </w:num>
  <w:num w:numId="12">
    <w:abstractNumId w:val="12"/>
  </w:num>
  <w:num w:numId="13">
    <w:abstractNumId w:val="11"/>
  </w:num>
  <w:num w:numId="14">
    <w:abstractNumId w:val="18"/>
  </w:num>
  <w:num w:numId="15">
    <w:abstractNumId w:val="14"/>
  </w:num>
  <w:num w:numId="16">
    <w:abstractNumId w:val="20"/>
  </w:num>
  <w:num w:numId="17">
    <w:abstractNumId w:val="3"/>
  </w:num>
  <w:num w:numId="18">
    <w:abstractNumId w:val="5"/>
  </w:num>
  <w:num w:numId="19">
    <w:abstractNumId w:val="2"/>
  </w:num>
  <w:num w:numId="20">
    <w:abstractNumId w:val="19"/>
  </w:num>
  <w:num w:numId="21">
    <w:abstractNumId w:val="21"/>
  </w:num>
  <w:num w:numId="22">
    <w:abstractNumId w:val="24"/>
  </w:num>
  <w:num w:numId="23">
    <w:abstractNumId w:val="6"/>
  </w:num>
  <w:num w:numId="24">
    <w:abstractNumId w:val="9"/>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07F2"/>
    <w:rsid w:val="00011759"/>
    <w:rsid w:val="000356F0"/>
    <w:rsid w:val="000366EB"/>
    <w:rsid w:val="000407F2"/>
    <w:rsid w:val="00045E16"/>
    <w:rsid w:val="00062C51"/>
    <w:rsid w:val="000908F1"/>
    <w:rsid w:val="000C323E"/>
    <w:rsid w:val="000F41C1"/>
    <w:rsid w:val="00103FD8"/>
    <w:rsid w:val="001266F1"/>
    <w:rsid w:val="0013675F"/>
    <w:rsid w:val="00147D7E"/>
    <w:rsid w:val="001522FC"/>
    <w:rsid w:val="001525C0"/>
    <w:rsid w:val="0015527F"/>
    <w:rsid w:val="00163402"/>
    <w:rsid w:val="001A0BE9"/>
    <w:rsid w:val="001A2329"/>
    <w:rsid w:val="001C4207"/>
    <w:rsid w:val="001D0FC1"/>
    <w:rsid w:val="001E1AAB"/>
    <w:rsid w:val="001E691F"/>
    <w:rsid w:val="00200615"/>
    <w:rsid w:val="00204215"/>
    <w:rsid w:val="00211A55"/>
    <w:rsid w:val="002450A4"/>
    <w:rsid w:val="00246BAE"/>
    <w:rsid w:val="00274AE2"/>
    <w:rsid w:val="002A3FAA"/>
    <w:rsid w:val="002A7C85"/>
    <w:rsid w:val="002C0A39"/>
    <w:rsid w:val="002D3580"/>
    <w:rsid w:val="002E0889"/>
    <w:rsid w:val="002F0A19"/>
    <w:rsid w:val="003257A1"/>
    <w:rsid w:val="00331082"/>
    <w:rsid w:val="00382824"/>
    <w:rsid w:val="003B6B4E"/>
    <w:rsid w:val="00425AF0"/>
    <w:rsid w:val="00437D61"/>
    <w:rsid w:val="00442322"/>
    <w:rsid w:val="0046745E"/>
    <w:rsid w:val="0049494F"/>
    <w:rsid w:val="004A55B8"/>
    <w:rsid w:val="004A5C80"/>
    <w:rsid w:val="004B1FCF"/>
    <w:rsid w:val="004B5B07"/>
    <w:rsid w:val="004C026C"/>
    <w:rsid w:val="004C13CF"/>
    <w:rsid w:val="00526C09"/>
    <w:rsid w:val="00542BD6"/>
    <w:rsid w:val="0055378B"/>
    <w:rsid w:val="005839AF"/>
    <w:rsid w:val="00596125"/>
    <w:rsid w:val="005A0BC3"/>
    <w:rsid w:val="005A5160"/>
    <w:rsid w:val="005E0A5A"/>
    <w:rsid w:val="005F0F7C"/>
    <w:rsid w:val="006104C5"/>
    <w:rsid w:val="006235F7"/>
    <w:rsid w:val="006261DF"/>
    <w:rsid w:val="0063486A"/>
    <w:rsid w:val="0063631B"/>
    <w:rsid w:val="00645019"/>
    <w:rsid w:val="0065092A"/>
    <w:rsid w:val="00652371"/>
    <w:rsid w:val="00662072"/>
    <w:rsid w:val="0067118D"/>
    <w:rsid w:val="00673B72"/>
    <w:rsid w:val="00691105"/>
    <w:rsid w:val="0070389F"/>
    <w:rsid w:val="00711728"/>
    <w:rsid w:val="00713F04"/>
    <w:rsid w:val="00723BB2"/>
    <w:rsid w:val="00763BCA"/>
    <w:rsid w:val="00777AD2"/>
    <w:rsid w:val="00782599"/>
    <w:rsid w:val="007956F7"/>
    <w:rsid w:val="007A2406"/>
    <w:rsid w:val="007C2AC4"/>
    <w:rsid w:val="007D1800"/>
    <w:rsid w:val="007D5011"/>
    <w:rsid w:val="007E2494"/>
    <w:rsid w:val="007E7736"/>
    <w:rsid w:val="00820FF9"/>
    <w:rsid w:val="0084105E"/>
    <w:rsid w:val="00864E82"/>
    <w:rsid w:val="00872F16"/>
    <w:rsid w:val="00883B5C"/>
    <w:rsid w:val="008845D3"/>
    <w:rsid w:val="008D58A8"/>
    <w:rsid w:val="008E199F"/>
    <w:rsid w:val="008E5FA8"/>
    <w:rsid w:val="008F5027"/>
    <w:rsid w:val="00911EA8"/>
    <w:rsid w:val="00920D41"/>
    <w:rsid w:val="00924285"/>
    <w:rsid w:val="009525D6"/>
    <w:rsid w:val="009638CE"/>
    <w:rsid w:val="00967939"/>
    <w:rsid w:val="00985CFA"/>
    <w:rsid w:val="009861F2"/>
    <w:rsid w:val="009B032B"/>
    <w:rsid w:val="009D45CD"/>
    <w:rsid w:val="009E264C"/>
    <w:rsid w:val="00A741FE"/>
    <w:rsid w:val="00A748A2"/>
    <w:rsid w:val="00A8359D"/>
    <w:rsid w:val="00AA1D9F"/>
    <w:rsid w:val="00AA3D20"/>
    <w:rsid w:val="00AB6713"/>
    <w:rsid w:val="00AC078B"/>
    <w:rsid w:val="00B20DDB"/>
    <w:rsid w:val="00B6347A"/>
    <w:rsid w:val="00B90F54"/>
    <w:rsid w:val="00B931C0"/>
    <w:rsid w:val="00BA32F2"/>
    <w:rsid w:val="00BA5881"/>
    <w:rsid w:val="00BD4709"/>
    <w:rsid w:val="00BF5544"/>
    <w:rsid w:val="00C0626D"/>
    <w:rsid w:val="00C262BA"/>
    <w:rsid w:val="00C63D00"/>
    <w:rsid w:val="00C97D45"/>
    <w:rsid w:val="00CD09B7"/>
    <w:rsid w:val="00CD304E"/>
    <w:rsid w:val="00D13A61"/>
    <w:rsid w:val="00D153B9"/>
    <w:rsid w:val="00D20519"/>
    <w:rsid w:val="00D20AD8"/>
    <w:rsid w:val="00D761DD"/>
    <w:rsid w:val="00D82E95"/>
    <w:rsid w:val="00DA3A05"/>
    <w:rsid w:val="00DC568F"/>
    <w:rsid w:val="00DC659A"/>
    <w:rsid w:val="00DD34D6"/>
    <w:rsid w:val="00DD582B"/>
    <w:rsid w:val="00DE5747"/>
    <w:rsid w:val="00DE6FDF"/>
    <w:rsid w:val="00DE7393"/>
    <w:rsid w:val="00E52257"/>
    <w:rsid w:val="00E62FB0"/>
    <w:rsid w:val="00E9768F"/>
    <w:rsid w:val="00EA2700"/>
    <w:rsid w:val="00EB7BF5"/>
    <w:rsid w:val="00EC0E5D"/>
    <w:rsid w:val="00EC66D6"/>
    <w:rsid w:val="00EE7E81"/>
    <w:rsid w:val="00EF3C91"/>
    <w:rsid w:val="00F113CF"/>
    <w:rsid w:val="00F12F6E"/>
    <w:rsid w:val="00F13BC0"/>
    <w:rsid w:val="00F21157"/>
    <w:rsid w:val="00F879BD"/>
    <w:rsid w:val="00FD1418"/>
    <w:rsid w:val="00FF0927"/>
    <w:rsid w:val="00FF4AB5"/>
    <w:rsid w:val="00FF7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704F5-1AAD-458B-8D43-7E641BA6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3"/>
    <w:pPr>
      <w:spacing w:before="240" w:after="12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AC078B"/>
    <w:pPr>
      <w:keepNext/>
      <w:keepLines/>
      <w:numPr>
        <w:numId w:val="6"/>
      </w:numPr>
      <w:jc w:val="center"/>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407F2"/>
    <w:pPr>
      <w:keepNext/>
      <w:keepLines/>
      <w:numPr>
        <w:ilvl w:val="1"/>
        <w:numId w:val="6"/>
      </w:numPr>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437D61"/>
    <w:pPr>
      <w:keepNext/>
      <w:keepLines/>
      <w:numPr>
        <w:ilvl w:val="2"/>
        <w:numId w:val="6"/>
      </w:numPr>
      <w:spacing w:before="20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EC0E5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C0E5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C0E5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C0E5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C0E5D"/>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C0E5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07F2"/>
    <w:rPr>
      <w:rFonts w:ascii="Tahoma" w:hAnsi="Tahoma" w:cs="Tahoma"/>
      <w:sz w:val="16"/>
      <w:szCs w:val="16"/>
    </w:rPr>
  </w:style>
  <w:style w:type="character" w:customStyle="1" w:styleId="TextedebullesCar">
    <w:name w:val="Texte de bulles Car"/>
    <w:basedOn w:val="Policepardfaut"/>
    <w:link w:val="Textedebulles"/>
    <w:uiPriority w:val="99"/>
    <w:semiHidden/>
    <w:rsid w:val="000407F2"/>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0407F2"/>
    <w:pPr>
      <w:tabs>
        <w:tab w:val="center" w:pos="4536"/>
        <w:tab w:val="right" w:pos="9072"/>
      </w:tabs>
      <w:spacing w:before="0" w:after="0"/>
    </w:pPr>
  </w:style>
  <w:style w:type="character" w:customStyle="1" w:styleId="En-tteCar">
    <w:name w:val="En-tête Car"/>
    <w:basedOn w:val="Policepardfaut"/>
    <w:link w:val="En-tte"/>
    <w:uiPriority w:val="99"/>
    <w:semiHidden/>
    <w:rsid w:val="000407F2"/>
    <w:rPr>
      <w:rFonts w:ascii="Arial" w:eastAsia="Times New Roman" w:hAnsi="Arial" w:cs="Times New Roman"/>
      <w:sz w:val="20"/>
      <w:szCs w:val="24"/>
      <w:lang w:eastAsia="fr-FR"/>
    </w:rPr>
  </w:style>
  <w:style w:type="paragraph" w:styleId="Pieddepage">
    <w:name w:val="footer"/>
    <w:basedOn w:val="Normal"/>
    <w:link w:val="PieddepageCar"/>
    <w:uiPriority w:val="99"/>
    <w:semiHidden/>
    <w:unhideWhenUsed/>
    <w:rsid w:val="000407F2"/>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0407F2"/>
    <w:rPr>
      <w:rFonts w:ascii="Arial" w:eastAsia="Times New Roman" w:hAnsi="Arial" w:cs="Times New Roman"/>
      <w:sz w:val="20"/>
      <w:szCs w:val="24"/>
      <w:lang w:eastAsia="fr-FR"/>
    </w:rPr>
  </w:style>
  <w:style w:type="character" w:customStyle="1" w:styleId="Titre1Car">
    <w:name w:val="Titre 1 Car"/>
    <w:basedOn w:val="Policepardfaut"/>
    <w:link w:val="Titre1"/>
    <w:uiPriority w:val="9"/>
    <w:rsid w:val="00AC078B"/>
    <w:rPr>
      <w:rFonts w:ascii="Arial" w:eastAsiaTheme="majorEastAsia" w:hAnsi="Arial"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0407F2"/>
    <w:rPr>
      <w:rFonts w:ascii="Arial" w:eastAsiaTheme="majorEastAsia" w:hAnsi="Arial" w:cstheme="majorBidi"/>
      <w:b/>
      <w:bCs/>
      <w:color w:val="4F81BD" w:themeColor="accent1"/>
      <w:sz w:val="26"/>
      <w:szCs w:val="26"/>
      <w:lang w:eastAsia="fr-FR"/>
    </w:rPr>
  </w:style>
  <w:style w:type="paragraph" w:styleId="Paragraphedeliste">
    <w:name w:val="List Paragraph"/>
    <w:basedOn w:val="Normal"/>
    <w:uiPriority w:val="34"/>
    <w:qFormat/>
    <w:rsid w:val="00437D61"/>
    <w:pPr>
      <w:ind w:left="720"/>
      <w:contextualSpacing/>
    </w:pPr>
  </w:style>
  <w:style w:type="character" w:customStyle="1" w:styleId="Titre3Car">
    <w:name w:val="Titre 3 Car"/>
    <w:basedOn w:val="Policepardfaut"/>
    <w:link w:val="Titre3"/>
    <w:uiPriority w:val="9"/>
    <w:rsid w:val="00437D61"/>
    <w:rPr>
      <w:rFonts w:ascii="Arial" w:eastAsiaTheme="majorEastAsia" w:hAnsi="Arial" w:cstheme="majorBidi"/>
      <w:b/>
      <w:bCs/>
      <w:color w:val="4F81BD" w:themeColor="accent1"/>
      <w:sz w:val="20"/>
      <w:szCs w:val="24"/>
      <w:lang w:eastAsia="fr-FR"/>
    </w:rPr>
  </w:style>
  <w:style w:type="character" w:customStyle="1" w:styleId="Titre4Car">
    <w:name w:val="Titre 4 Car"/>
    <w:basedOn w:val="Policepardfaut"/>
    <w:link w:val="Titre4"/>
    <w:uiPriority w:val="9"/>
    <w:rsid w:val="00EC0E5D"/>
    <w:rPr>
      <w:rFonts w:asciiTheme="majorHAnsi" w:eastAsiaTheme="majorEastAsia" w:hAnsiTheme="majorHAnsi" w:cstheme="majorBidi"/>
      <w:b/>
      <w:bCs/>
      <w:i/>
      <w:iCs/>
      <w:color w:val="4F81BD" w:themeColor="accent1"/>
      <w:sz w:val="20"/>
      <w:szCs w:val="24"/>
      <w:lang w:eastAsia="fr-FR"/>
    </w:rPr>
  </w:style>
  <w:style w:type="character" w:customStyle="1" w:styleId="Titre5Car">
    <w:name w:val="Titre 5 Car"/>
    <w:basedOn w:val="Policepardfaut"/>
    <w:link w:val="Titre5"/>
    <w:uiPriority w:val="9"/>
    <w:semiHidden/>
    <w:rsid w:val="00EC0E5D"/>
    <w:rPr>
      <w:rFonts w:asciiTheme="majorHAnsi" w:eastAsiaTheme="majorEastAsia" w:hAnsiTheme="majorHAnsi" w:cstheme="majorBidi"/>
      <w:color w:val="243F60" w:themeColor="accent1" w:themeShade="7F"/>
      <w:sz w:val="20"/>
      <w:szCs w:val="24"/>
      <w:lang w:eastAsia="fr-FR"/>
    </w:rPr>
  </w:style>
  <w:style w:type="character" w:customStyle="1" w:styleId="Titre6Car">
    <w:name w:val="Titre 6 Car"/>
    <w:basedOn w:val="Policepardfaut"/>
    <w:link w:val="Titre6"/>
    <w:uiPriority w:val="9"/>
    <w:semiHidden/>
    <w:rsid w:val="00EC0E5D"/>
    <w:rPr>
      <w:rFonts w:asciiTheme="majorHAnsi" w:eastAsiaTheme="majorEastAsia" w:hAnsiTheme="majorHAnsi" w:cstheme="majorBidi"/>
      <w:i/>
      <w:iCs/>
      <w:color w:val="243F60" w:themeColor="accent1" w:themeShade="7F"/>
      <w:sz w:val="20"/>
      <w:szCs w:val="24"/>
      <w:lang w:eastAsia="fr-FR"/>
    </w:rPr>
  </w:style>
  <w:style w:type="character" w:customStyle="1" w:styleId="Titre7Car">
    <w:name w:val="Titre 7 Car"/>
    <w:basedOn w:val="Policepardfaut"/>
    <w:link w:val="Titre7"/>
    <w:uiPriority w:val="9"/>
    <w:semiHidden/>
    <w:rsid w:val="00EC0E5D"/>
    <w:rPr>
      <w:rFonts w:asciiTheme="majorHAnsi" w:eastAsiaTheme="majorEastAsia" w:hAnsiTheme="majorHAnsi" w:cstheme="majorBidi"/>
      <w:i/>
      <w:iCs/>
      <w:color w:val="404040" w:themeColor="text1" w:themeTint="BF"/>
      <w:sz w:val="20"/>
      <w:szCs w:val="24"/>
      <w:lang w:eastAsia="fr-FR"/>
    </w:rPr>
  </w:style>
  <w:style w:type="character" w:customStyle="1" w:styleId="Titre8Car">
    <w:name w:val="Titre 8 Car"/>
    <w:basedOn w:val="Policepardfaut"/>
    <w:link w:val="Titre8"/>
    <w:uiPriority w:val="9"/>
    <w:semiHidden/>
    <w:rsid w:val="00EC0E5D"/>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EC0E5D"/>
    <w:rPr>
      <w:rFonts w:asciiTheme="majorHAnsi" w:eastAsiaTheme="majorEastAsia" w:hAnsiTheme="majorHAnsi" w:cstheme="majorBidi"/>
      <w:i/>
      <w:iCs/>
      <w:color w:val="404040" w:themeColor="text1" w:themeTint="BF"/>
      <w:sz w:val="20"/>
      <w:szCs w:val="20"/>
      <w:lang w:eastAsia="fr-FR"/>
    </w:rPr>
  </w:style>
  <w:style w:type="table" w:styleId="Grilledutableau">
    <w:name w:val="Table Grid"/>
    <w:basedOn w:val="TableauNormal"/>
    <w:uiPriority w:val="59"/>
    <w:rsid w:val="000F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41C1"/>
    <w:rPr>
      <w:color w:val="0000FF"/>
      <w:u w:val="single"/>
    </w:rPr>
  </w:style>
  <w:style w:type="paragraph" w:styleId="En-ttedetabledesmatires">
    <w:name w:val="TOC Heading"/>
    <w:basedOn w:val="Titre1"/>
    <w:next w:val="Normal"/>
    <w:uiPriority w:val="39"/>
    <w:semiHidden/>
    <w:unhideWhenUsed/>
    <w:qFormat/>
    <w:rsid w:val="00AA1D9F"/>
    <w:pPr>
      <w:numPr>
        <w:numId w:val="0"/>
      </w:numPr>
      <w:spacing w:before="480" w:after="0" w:line="276" w:lineRule="auto"/>
      <w:jc w:val="left"/>
      <w:outlineLvl w:val="9"/>
    </w:pPr>
    <w:rPr>
      <w:rFonts w:asciiTheme="majorHAnsi" w:hAnsiTheme="majorHAnsi"/>
      <w:lang w:eastAsia="en-US"/>
    </w:rPr>
  </w:style>
  <w:style w:type="paragraph" w:styleId="TM1">
    <w:name w:val="toc 1"/>
    <w:basedOn w:val="Normal"/>
    <w:next w:val="Normal"/>
    <w:autoRedefine/>
    <w:uiPriority w:val="39"/>
    <w:unhideWhenUsed/>
    <w:rsid w:val="00AA1D9F"/>
    <w:pPr>
      <w:spacing w:after="100"/>
    </w:pPr>
  </w:style>
  <w:style w:type="paragraph" w:styleId="TM2">
    <w:name w:val="toc 2"/>
    <w:basedOn w:val="Normal"/>
    <w:next w:val="Normal"/>
    <w:autoRedefine/>
    <w:uiPriority w:val="39"/>
    <w:unhideWhenUsed/>
    <w:rsid w:val="00AA1D9F"/>
    <w:pPr>
      <w:spacing w:after="100"/>
      <w:ind w:left="200"/>
    </w:pPr>
  </w:style>
  <w:style w:type="paragraph" w:styleId="TM3">
    <w:name w:val="toc 3"/>
    <w:basedOn w:val="Normal"/>
    <w:next w:val="Normal"/>
    <w:autoRedefine/>
    <w:uiPriority w:val="39"/>
    <w:unhideWhenUsed/>
    <w:rsid w:val="00AA1D9F"/>
    <w:pPr>
      <w:spacing w:after="100"/>
      <w:ind w:left="400"/>
    </w:pPr>
  </w:style>
  <w:style w:type="character" w:styleId="Marquedecommentaire">
    <w:name w:val="annotation reference"/>
    <w:basedOn w:val="Policepardfaut"/>
    <w:uiPriority w:val="99"/>
    <w:semiHidden/>
    <w:unhideWhenUsed/>
    <w:rsid w:val="009D45CD"/>
    <w:rPr>
      <w:sz w:val="16"/>
      <w:szCs w:val="16"/>
    </w:rPr>
  </w:style>
  <w:style w:type="paragraph" w:styleId="Commentaire">
    <w:name w:val="annotation text"/>
    <w:basedOn w:val="Normal"/>
    <w:link w:val="CommentaireCar"/>
    <w:uiPriority w:val="99"/>
    <w:semiHidden/>
    <w:unhideWhenUsed/>
    <w:rsid w:val="009D45CD"/>
    <w:rPr>
      <w:szCs w:val="20"/>
    </w:rPr>
  </w:style>
  <w:style w:type="character" w:customStyle="1" w:styleId="CommentaireCar">
    <w:name w:val="Commentaire Car"/>
    <w:basedOn w:val="Policepardfaut"/>
    <w:link w:val="Commentaire"/>
    <w:uiPriority w:val="99"/>
    <w:semiHidden/>
    <w:rsid w:val="009D45CD"/>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45CD"/>
    <w:rPr>
      <w:b/>
      <w:bCs/>
    </w:rPr>
  </w:style>
  <w:style w:type="character" w:customStyle="1" w:styleId="ObjetducommentaireCar">
    <w:name w:val="Objet du commentaire Car"/>
    <w:basedOn w:val="CommentaireCar"/>
    <w:link w:val="Objetducommentaire"/>
    <w:uiPriority w:val="99"/>
    <w:semiHidden/>
    <w:rsid w:val="009D45CD"/>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7975">
      <w:bodyDiv w:val="1"/>
      <w:marLeft w:val="0"/>
      <w:marRight w:val="0"/>
      <w:marTop w:val="0"/>
      <w:marBottom w:val="0"/>
      <w:divBdr>
        <w:top w:val="none" w:sz="0" w:space="0" w:color="auto"/>
        <w:left w:val="none" w:sz="0" w:space="0" w:color="auto"/>
        <w:bottom w:val="none" w:sz="0" w:space="0" w:color="auto"/>
        <w:right w:val="none" w:sz="0" w:space="0" w:color="auto"/>
      </w:divBdr>
    </w:div>
    <w:div w:id="441460446">
      <w:bodyDiv w:val="1"/>
      <w:marLeft w:val="0"/>
      <w:marRight w:val="0"/>
      <w:marTop w:val="0"/>
      <w:marBottom w:val="0"/>
      <w:divBdr>
        <w:top w:val="none" w:sz="0" w:space="0" w:color="auto"/>
        <w:left w:val="none" w:sz="0" w:space="0" w:color="auto"/>
        <w:bottom w:val="none" w:sz="0" w:space="0" w:color="auto"/>
        <w:right w:val="none" w:sz="0" w:space="0" w:color="auto"/>
      </w:divBdr>
    </w:div>
    <w:div w:id="1717120829">
      <w:bodyDiv w:val="1"/>
      <w:marLeft w:val="0"/>
      <w:marRight w:val="0"/>
      <w:marTop w:val="0"/>
      <w:marBottom w:val="0"/>
      <w:divBdr>
        <w:top w:val="none" w:sz="0" w:space="0" w:color="auto"/>
        <w:left w:val="none" w:sz="0" w:space="0" w:color="auto"/>
        <w:bottom w:val="none" w:sz="0" w:space="0" w:color="auto"/>
        <w:right w:val="none" w:sz="0" w:space="0" w:color="auto"/>
      </w:divBdr>
    </w:div>
    <w:div w:id="1762217604">
      <w:bodyDiv w:val="1"/>
      <w:marLeft w:val="0"/>
      <w:marRight w:val="0"/>
      <w:marTop w:val="0"/>
      <w:marBottom w:val="0"/>
      <w:divBdr>
        <w:top w:val="none" w:sz="0" w:space="0" w:color="auto"/>
        <w:left w:val="none" w:sz="0" w:space="0" w:color="auto"/>
        <w:bottom w:val="none" w:sz="0" w:space="0" w:color="auto"/>
        <w:right w:val="none" w:sz="0" w:space="0" w:color="auto"/>
      </w:divBdr>
    </w:div>
    <w:div w:id="1794248030">
      <w:bodyDiv w:val="1"/>
      <w:marLeft w:val="0"/>
      <w:marRight w:val="0"/>
      <w:marTop w:val="0"/>
      <w:marBottom w:val="0"/>
      <w:divBdr>
        <w:top w:val="none" w:sz="0" w:space="0" w:color="auto"/>
        <w:left w:val="none" w:sz="0" w:space="0" w:color="auto"/>
        <w:bottom w:val="none" w:sz="0" w:space="0" w:color="auto"/>
        <w:right w:val="none" w:sz="0" w:space="0" w:color="auto"/>
      </w:divBdr>
      <w:divsChild>
        <w:div w:id="1141506520">
          <w:marLeft w:val="0"/>
          <w:marRight w:val="0"/>
          <w:marTop w:val="0"/>
          <w:marBottom w:val="0"/>
          <w:divBdr>
            <w:top w:val="single" w:sz="6" w:space="0" w:color="808080"/>
            <w:left w:val="single" w:sz="6" w:space="0" w:color="808080"/>
            <w:bottom w:val="single" w:sz="6" w:space="0" w:color="808080"/>
            <w:right w:val="single" w:sz="6" w:space="0" w:color="808080"/>
          </w:divBdr>
          <w:divsChild>
            <w:div w:id="143258074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06246778">
          <w:marLeft w:val="0"/>
          <w:marRight w:val="0"/>
          <w:marTop w:val="0"/>
          <w:marBottom w:val="0"/>
          <w:divBdr>
            <w:top w:val="single" w:sz="6" w:space="0" w:color="808080"/>
            <w:left w:val="single" w:sz="6" w:space="0" w:color="808080"/>
            <w:bottom w:val="single" w:sz="6" w:space="0" w:color="808080"/>
            <w:right w:val="single" w:sz="6" w:space="0" w:color="808080"/>
          </w:divBdr>
          <w:divsChild>
            <w:div w:id="95414060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666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ion@sivu-elor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47490-66E4-4132-BA6B-2F487545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1235</Words>
  <Characters>6795</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WAIT_FOREVER</dc:creator>
  <cp:lastModifiedBy>Eric Seguin</cp:lastModifiedBy>
  <cp:revision>41</cp:revision>
  <cp:lastPrinted>2015-10-05T13:05:00Z</cp:lastPrinted>
  <dcterms:created xsi:type="dcterms:W3CDTF">2013-04-12T06:49:00Z</dcterms:created>
  <dcterms:modified xsi:type="dcterms:W3CDTF">2015-12-15T08:56:00Z</dcterms:modified>
</cp:coreProperties>
</file>