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40" w:rsidRPr="00D956A9" w:rsidRDefault="00F25A40" w:rsidP="00F25A40">
      <w:pPr>
        <w:pStyle w:val="Default"/>
        <w:jc w:val="center"/>
        <w:rPr>
          <w:rFonts w:ascii="Times New Roman" w:hAnsi="Times New Roman"/>
          <w:b/>
          <w:sz w:val="28"/>
        </w:rPr>
      </w:pPr>
      <w:r w:rsidRPr="00D956A9">
        <w:rPr>
          <w:rFonts w:ascii="Times New Roman" w:hAnsi="Times New Roman"/>
          <w:b/>
          <w:noProof/>
          <w:sz w:val="28"/>
        </w:rPr>
        <w:t xml:space="preserve">MARCHES PUBLICS DE </w:t>
      </w:r>
      <w:r>
        <w:rPr>
          <w:rFonts w:ascii="Times New Roman" w:hAnsi="Times New Roman"/>
          <w:b/>
          <w:noProof/>
          <w:sz w:val="28"/>
        </w:rPr>
        <w:t>FOURNITURES COURANTES ET SERVICES</w:t>
      </w:r>
    </w:p>
    <w:p w:rsidR="00F25A40" w:rsidRDefault="00F25A40" w:rsidP="00F25A40">
      <w:pPr>
        <w:spacing w:after="0" w:line="240" w:lineRule="auto"/>
        <w:rPr>
          <w:rFonts w:ascii="Times New Roman" w:hAnsi="Times New Roman"/>
        </w:rPr>
      </w:pPr>
    </w:p>
    <w:p w:rsidR="00F25A40" w:rsidRDefault="00F25A40" w:rsidP="00F25A40">
      <w:pPr>
        <w:spacing w:after="0" w:line="240" w:lineRule="auto"/>
        <w:rPr>
          <w:rFonts w:ascii="Times New Roman" w:hAnsi="Times New Roman"/>
        </w:rPr>
      </w:pPr>
    </w:p>
    <w:p w:rsidR="00F25A40" w:rsidRPr="00D956A9" w:rsidRDefault="00F25A40" w:rsidP="00F25A40">
      <w:pPr>
        <w:spacing w:after="0" w:line="240" w:lineRule="auto"/>
        <w:rPr>
          <w:rFonts w:ascii="Times New Roman" w:hAnsi="Times New Roman"/>
        </w:rPr>
      </w:pPr>
    </w:p>
    <w:p w:rsidR="00F25A40" w:rsidRDefault="00F25A40" w:rsidP="00F25A40">
      <w:pPr>
        <w:spacing w:after="0" w:line="240" w:lineRule="auto"/>
        <w:jc w:val="center"/>
        <w:rPr>
          <w:rFonts w:ascii="Times New Roman" w:hAnsi="Times New Roman"/>
        </w:rPr>
      </w:pPr>
    </w:p>
    <w:p w:rsidR="00F25A40" w:rsidRDefault="00720871" w:rsidP="00720871">
      <w:pPr>
        <w:spacing w:after="0" w:line="240" w:lineRule="auto"/>
        <w:jc w:val="center"/>
        <w:rPr>
          <w:rFonts w:ascii="Times New Roman" w:hAnsi="Times New Roman"/>
        </w:rPr>
      </w:pPr>
      <w:r>
        <w:rPr>
          <w:rFonts w:ascii="Times New Roman" w:hAnsi="Times New Roman"/>
          <w:noProof/>
        </w:rPr>
        <w:drawing>
          <wp:inline distT="0" distB="0" distL="0" distR="0" wp14:anchorId="35A88F4F" wp14:editId="1E8E95E7">
            <wp:extent cx="1724025" cy="1787788"/>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uesnou vectorisé ç dec 2014 de mct.jpg"/>
                    <pic:cNvPicPr/>
                  </pic:nvPicPr>
                  <pic:blipFill>
                    <a:blip r:embed="rId9">
                      <a:extLst>
                        <a:ext uri="{28A0092B-C50C-407E-A947-70E740481C1C}">
                          <a14:useLocalDpi xmlns:a14="http://schemas.microsoft.com/office/drawing/2010/main" val="0"/>
                        </a:ext>
                      </a:extLst>
                    </a:blip>
                    <a:stretch>
                      <a:fillRect/>
                    </a:stretch>
                  </pic:blipFill>
                  <pic:spPr>
                    <a:xfrm>
                      <a:off x="0" y="0"/>
                      <a:ext cx="1724025" cy="1787788"/>
                    </a:xfrm>
                    <a:prstGeom prst="rect">
                      <a:avLst/>
                    </a:prstGeom>
                  </pic:spPr>
                </pic:pic>
              </a:graphicData>
            </a:graphic>
          </wp:inline>
        </w:drawing>
      </w:r>
    </w:p>
    <w:p w:rsidR="00F25A40" w:rsidRPr="00D956A9" w:rsidRDefault="00F25A40" w:rsidP="00F25A40">
      <w:pPr>
        <w:spacing w:after="0" w:line="240" w:lineRule="auto"/>
        <w:rPr>
          <w:rFonts w:ascii="Times New Roman" w:hAnsi="Times New Roman"/>
        </w:rPr>
      </w:pPr>
    </w:p>
    <w:p w:rsidR="00F25A40" w:rsidRPr="00D956A9" w:rsidRDefault="00F25A40" w:rsidP="00F25A40">
      <w:pPr>
        <w:pStyle w:val="Default"/>
        <w:jc w:val="center"/>
        <w:rPr>
          <w:rFonts w:ascii="Times New Roman" w:hAnsi="Times New Roman"/>
        </w:rPr>
      </w:pPr>
    </w:p>
    <w:p w:rsidR="00F25A40" w:rsidRPr="00D956A9" w:rsidRDefault="00F25A40" w:rsidP="00F25A40">
      <w:pPr>
        <w:spacing w:after="0" w:line="240" w:lineRule="auto"/>
        <w:rPr>
          <w:rFonts w:ascii="Times New Roman" w:hAnsi="Times New Roman"/>
        </w:rPr>
      </w:pPr>
      <w:r>
        <w:rPr>
          <w:rFonts w:ascii="Times New Roman" w:hAnsi="Times New Roman"/>
        </w:rPr>
        <w:t xml:space="preserve">                                       </w:t>
      </w:r>
    </w:p>
    <w:p w:rsidR="00F25A40" w:rsidRPr="00D956A9" w:rsidRDefault="00F25A40" w:rsidP="00F25A40">
      <w:pPr>
        <w:framePr w:hSpace="142" w:wrap="notBeside" w:vAnchor="text" w:hAnchor="page" w:xAlign="center" w:y="1"/>
        <w:spacing w:after="0" w:line="240" w:lineRule="auto"/>
        <w:jc w:val="center"/>
        <w:rPr>
          <w:rFonts w:ascii="Times New Roman" w:hAnsi="Times New Roman"/>
        </w:rPr>
      </w:pPr>
    </w:p>
    <w:p w:rsidR="00F25A40" w:rsidRDefault="00F25A40" w:rsidP="00F25A40">
      <w:pPr>
        <w:spacing w:after="0" w:line="240" w:lineRule="auto"/>
        <w:rPr>
          <w:rFonts w:ascii="Times New Roman" w:hAnsi="Times New Roman"/>
        </w:rPr>
      </w:pPr>
    </w:p>
    <w:p w:rsidR="00F25A40" w:rsidRDefault="00F25A40" w:rsidP="00F25A40">
      <w:pPr>
        <w:spacing w:after="0" w:line="240" w:lineRule="auto"/>
        <w:rPr>
          <w:rFonts w:ascii="Times New Roman" w:hAnsi="Times New Roman"/>
        </w:rPr>
      </w:pPr>
    </w:p>
    <w:p w:rsidR="00F25A40" w:rsidRPr="00D956A9" w:rsidRDefault="00F25A40" w:rsidP="00F25A40">
      <w:pPr>
        <w:spacing w:after="0" w:line="240" w:lineRule="auto"/>
        <w:rPr>
          <w:rFonts w:ascii="Times New Roman" w:hAnsi="Times New Roman"/>
        </w:rPr>
      </w:pPr>
    </w:p>
    <w:p w:rsidR="00F25A40" w:rsidRDefault="00F25A40" w:rsidP="00F25A40">
      <w:pPr>
        <w:pBdr>
          <w:top w:val="double" w:sz="12" w:space="1" w:color="auto" w:shadow="1"/>
          <w:left w:val="double" w:sz="12" w:space="1" w:color="auto" w:shadow="1"/>
          <w:bottom w:val="double" w:sz="12" w:space="1" w:color="auto" w:shadow="1"/>
          <w:right w:val="double" w:sz="12" w:space="1" w:color="auto" w:shadow="1"/>
        </w:pBdr>
        <w:spacing w:after="0" w:line="240" w:lineRule="auto"/>
        <w:jc w:val="center"/>
        <w:rPr>
          <w:b/>
          <w:bCs/>
          <w:sz w:val="40"/>
          <w:szCs w:val="40"/>
        </w:rPr>
      </w:pPr>
      <w:r>
        <w:rPr>
          <w:b/>
          <w:bCs/>
          <w:sz w:val="40"/>
          <w:szCs w:val="40"/>
        </w:rPr>
        <w:t xml:space="preserve">ACHAT ET </w:t>
      </w:r>
      <w:r w:rsidRPr="002769F6">
        <w:rPr>
          <w:b/>
          <w:bCs/>
          <w:sz w:val="40"/>
          <w:szCs w:val="40"/>
        </w:rPr>
        <w:t>DISTRIBUTION D’ELECTRICITE</w:t>
      </w:r>
      <w:r w:rsidRPr="0006313D">
        <w:rPr>
          <w:b/>
          <w:bCs/>
          <w:sz w:val="40"/>
          <w:szCs w:val="40"/>
        </w:rPr>
        <w:t xml:space="preserve"> </w:t>
      </w:r>
    </w:p>
    <w:p w:rsidR="00F25A40" w:rsidRPr="00D956A9" w:rsidRDefault="00F25A40" w:rsidP="00F25A40">
      <w:pPr>
        <w:pBdr>
          <w:top w:val="double" w:sz="12" w:space="1" w:color="auto" w:shadow="1"/>
          <w:left w:val="double" w:sz="12" w:space="1" w:color="auto" w:shadow="1"/>
          <w:bottom w:val="double" w:sz="12" w:space="1" w:color="auto" w:shadow="1"/>
          <w:right w:val="double" w:sz="12" w:space="1" w:color="auto" w:shadow="1"/>
        </w:pBdr>
        <w:spacing w:after="0" w:line="240" w:lineRule="auto"/>
        <w:jc w:val="center"/>
        <w:rPr>
          <w:rFonts w:ascii="Arial" w:hAnsi="Arial"/>
          <w:caps/>
          <w:color w:val="000000"/>
          <w:sz w:val="36"/>
          <w:szCs w:val="36"/>
        </w:rPr>
      </w:pPr>
      <w:bookmarkStart w:id="0" w:name="_GoBack"/>
      <w:bookmarkEnd w:id="0"/>
      <w:r>
        <w:rPr>
          <w:b/>
          <w:bCs/>
          <w:sz w:val="40"/>
          <w:szCs w:val="40"/>
        </w:rPr>
        <w:t xml:space="preserve">POUR LES BESOINS DE LA COMMUNE DE GOUESNOU </w:t>
      </w:r>
    </w:p>
    <w:p w:rsidR="00F25A40" w:rsidRPr="00D956A9" w:rsidRDefault="00F25A40" w:rsidP="00F25A40">
      <w:pPr>
        <w:spacing w:after="0" w:line="240" w:lineRule="auto"/>
        <w:rPr>
          <w:rFonts w:ascii="Times New Roman" w:hAnsi="Times New Roman"/>
        </w:rPr>
      </w:pPr>
    </w:p>
    <w:p w:rsidR="00F25A40" w:rsidRPr="00D956A9" w:rsidRDefault="00F25A40" w:rsidP="00F25A40">
      <w:pPr>
        <w:spacing w:after="0" w:line="240" w:lineRule="auto"/>
        <w:rPr>
          <w:rFonts w:ascii="Times New Roman" w:hAnsi="Times New Roman"/>
          <w:noProof/>
        </w:rPr>
      </w:pPr>
    </w:p>
    <w:p w:rsidR="00F25A40" w:rsidRPr="00D956A9" w:rsidRDefault="00F25A40" w:rsidP="00F25A40">
      <w:pPr>
        <w:spacing w:after="0" w:line="240" w:lineRule="auto"/>
        <w:rPr>
          <w:rFonts w:ascii="Times New Roman" w:hAnsi="Times New Roman"/>
        </w:rPr>
      </w:pPr>
    </w:p>
    <w:p w:rsidR="00F25A40" w:rsidRPr="00D956A9" w:rsidRDefault="00F25A40" w:rsidP="00F25A40">
      <w:pPr>
        <w:spacing w:after="0" w:line="240" w:lineRule="auto"/>
        <w:rPr>
          <w:rFonts w:ascii="Times New Roman" w:hAnsi="Times New Roman"/>
        </w:rPr>
      </w:pPr>
    </w:p>
    <w:p w:rsidR="00F25A40" w:rsidRPr="00D956A9" w:rsidRDefault="00F25A40" w:rsidP="00F25A40">
      <w:pPr>
        <w:tabs>
          <w:tab w:val="right" w:pos="4395"/>
          <w:tab w:val="center" w:pos="4536"/>
          <w:tab w:val="left" w:pos="4678"/>
        </w:tabs>
        <w:spacing w:after="0" w:line="240" w:lineRule="auto"/>
        <w:jc w:val="center"/>
        <w:rPr>
          <w:rFonts w:ascii="Times New Roman" w:hAnsi="Times New Roman"/>
          <w:noProof/>
          <w:sz w:val="28"/>
          <w:szCs w:val="20"/>
        </w:rPr>
      </w:pPr>
      <w:r w:rsidRPr="00D956A9">
        <w:rPr>
          <w:rFonts w:ascii="Times New Roman" w:hAnsi="Times New Roman"/>
          <w:noProof/>
          <w:sz w:val="28"/>
          <w:szCs w:val="20"/>
        </w:rPr>
        <w:t>Date et heure limites de réception des offres :</w:t>
      </w:r>
    </w:p>
    <w:p w:rsidR="00F25A40" w:rsidRPr="00D956A9" w:rsidRDefault="00F25A40" w:rsidP="00F25A40">
      <w:pPr>
        <w:tabs>
          <w:tab w:val="right" w:pos="4395"/>
          <w:tab w:val="center" w:pos="4536"/>
          <w:tab w:val="left" w:pos="4678"/>
        </w:tabs>
        <w:spacing w:after="0" w:line="240" w:lineRule="auto"/>
        <w:rPr>
          <w:rFonts w:ascii="Times New Roman" w:hAnsi="Times New Roman"/>
          <w:noProof/>
          <w:sz w:val="28"/>
          <w:szCs w:val="20"/>
        </w:rPr>
      </w:pPr>
    </w:p>
    <w:p w:rsidR="00F25A40" w:rsidRPr="00447F9F" w:rsidRDefault="00F25A40" w:rsidP="00F25A40">
      <w:pPr>
        <w:tabs>
          <w:tab w:val="right" w:pos="4395"/>
          <w:tab w:val="center" w:pos="4536"/>
          <w:tab w:val="left" w:pos="4678"/>
        </w:tabs>
        <w:spacing w:after="0" w:line="240" w:lineRule="auto"/>
        <w:jc w:val="center"/>
        <w:rPr>
          <w:rFonts w:ascii="Times New Roman" w:hAnsi="Times New Roman"/>
          <w:szCs w:val="20"/>
        </w:rPr>
      </w:pPr>
      <w:r w:rsidRPr="00447F9F">
        <w:rPr>
          <w:rFonts w:ascii="Times New Roman" w:hAnsi="Times New Roman"/>
          <w:b/>
          <w:noProof/>
          <w:sz w:val="28"/>
          <w:szCs w:val="20"/>
        </w:rPr>
        <w:t>Le 15 DECEMBRE 2015 à 12h00 </w:t>
      </w:r>
    </w:p>
    <w:p w:rsidR="00F25A40" w:rsidRPr="00D956A9" w:rsidRDefault="00F25A40" w:rsidP="00F25A40">
      <w:pPr>
        <w:spacing w:after="0" w:line="240" w:lineRule="auto"/>
        <w:rPr>
          <w:rFonts w:ascii="Times New Roman" w:hAnsi="Times New Roman"/>
        </w:rPr>
      </w:pPr>
    </w:p>
    <w:p w:rsidR="00F25A40" w:rsidRPr="00D956A9" w:rsidRDefault="00F25A40" w:rsidP="00F25A40">
      <w:pPr>
        <w:spacing w:after="0" w:line="240" w:lineRule="auto"/>
        <w:rPr>
          <w:rFonts w:ascii="Times New Roman" w:hAnsi="Times New Roman"/>
        </w:rPr>
      </w:pPr>
    </w:p>
    <w:p w:rsidR="00F25A40" w:rsidRPr="00D956A9" w:rsidRDefault="00F25A40" w:rsidP="00F25A40">
      <w:pPr>
        <w:spacing w:after="0" w:line="240" w:lineRule="auto"/>
        <w:rPr>
          <w:rFonts w:ascii="Times New Roman" w:hAnsi="Times New Roman"/>
        </w:rPr>
      </w:pPr>
    </w:p>
    <w:p w:rsidR="00F25A40" w:rsidRPr="00E039B3" w:rsidRDefault="00F25A40" w:rsidP="00F25A40">
      <w:pPr>
        <w:spacing w:after="0" w:line="240" w:lineRule="auto"/>
        <w:jc w:val="center"/>
        <w:rPr>
          <w:rFonts w:ascii="Times New Roman" w:hAnsi="Times New Roman"/>
          <w:b/>
          <w:sz w:val="52"/>
          <w:szCs w:val="52"/>
          <w:u w:val="single"/>
        </w:rPr>
      </w:pPr>
      <w:r w:rsidRPr="00E039B3">
        <w:rPr>
          <w:rFonts w:ascii="Times New Roman" w:hAnsi="Times New Roman"/>
          <w:b/>
          <w:sz w:val="52"/>
          <w:szCs w:val="52"/>
          <w:u w:val="single"/>
        </w:rPr>
        <w:t>CAHIER DES CLAUSES ADMINISTRATIVES PARTICULIERES (CCAP)</w:t>
      </w:r>
    </w:p>
    <w:p w:rsidR="00F25A40" w:rsidRDefault="00F25A40" w:rsidP="00930A63">
      <w:pPr>
        <w:pStyle w:val="Default"/>
        <w:jc w:val="center"/>
        <w:rPr>
          <w:rFonts w:ascii="Calibri" w:hAnsi="Calibri"/>
          <w:b/>
          <w:bCs/>
          <w:sz w:val="40"/>
          <w:szCs w:val="40"/>
        </w:rPr>
      </w:pPr>
    </w:p>
    <w:p w:rsidR="00EA5221" w:rsidRPr="00E039B3" w:rsidRDefault="00EA5221" w:rsidP="00EA5221">
      <w:pPr>
        <w:pStyle w:val="Default"/>
        <w:jc w:val="both"/>
        <w:rPr>
          <w:b/>
          <w:bCs/>
          <w:i/>
          <w:iCs/>
          <w:color w:val="auto"/>
          <w:sz w:val="44"/>
          <w:szCs w:val="44"/>
        </w:rPr>
      </w:pPr>
      <w:r w:rsidRPr="00E039B3">
        <w:rPr>
          <w:b/>
          <w:bCs/>
          <w:i/>
          <w:iCs/>
          <w:color w:val="auto"/>
          <w:sz w:val="44"/>
          <w:szCs w:val="44"/>
        </w:rPr>
        <w:t>Préambule</w:t>
      </w:r>
    </w:p>
    <w:p w:rsidR="00EA5221" w:rsidRDefault="00EA5221" w:rsidP="00EA5221">
      <w:pPr>
        <w:pStyle w:val="Default"/>
        <w:jc w:val="both"/>
        <w:rPr>
          <w:rFonts w:ascii="Calibri" w:hAnsi="Calibri"/>
          <w:b/>
          <w:bCs/>
          <w:sz w:val="22"/>
        </w:rPr>
      </w:pPr>
    </w:p>
    <w:p w:rsidR="002769F6" w:rsidRPr="002769F6" w:rsidRDefault="002769F6" w:rsidP="00AE4BA3">
      <w:pPr>
        <w:pStyle w:val="Default"/>
        <w:jc w:val="both"/>
        <w:rPr>
          <w:rFonts w:ascii="Calibri" w:hAnsi="Calibri"/>
          <w:sz w:val="36"/>
          <w:szCs w:val="36"/>
        </w:rPr>
      </w:pPr>
    </w:p>
    <w:tbl>
      <w:tblPr>
        <w:tblW w:w="0" w:type="auto"/>
        <w:tblBorders>
          <w:top w:val="nil"/>
          <w:left w:val="nil"/>
          <w:bottom w:val="nil"/>
          <w:right w:val="nil"/>
        </w:tblBorders>
        <w:tblLook w:val="0000" w:firstRow="0" w:lastRow="0" w:firstColumn="0" w:lastColumn="0" w:noHBand="0" w:noVBand="0"/>
      </w:tblPr>
      <w:tblGrid>
        <w:gridCol w:w="6465"/>
      </w:tblGrid>
      <w:tr w:rsidR="002769F6" w:rsidRPr="00930A63">
        <w:trPr>
          <w:trHeight w:val="304"/>
        </w:trPr>
        <w:tc>
          <w:tcPr>
            <w:tcW w:w="0" w:type="auto"/>
          </w:tcPr>
          <w:p w:rsidR="002769F6" w:rsidRPr="00930A63" w:rsidRDefault="002769F6" w:rsidP="00C61169">
            <w:pPr>
              <w:pStyle w:val="Default"/>
              <w:jc w:val="both"/>
              <w:rPr>
                <w:rFonts w:ascii="Calibri" w:hAnsi="Calibri"/>
                <w:sz w:val="22"/>
              </w:rPr>
            </w:pPr>
            <w:r w:rsidRPr="00930A63">
              <w:rPr>
                <w:rFonts w:ascii="Calibri" w:hAnsi="Calibri"/>
                <w:b/>
                <w:bCs/>
                <w:sz w:val="22"/>
              </w:rPr>
              <w:t>Pouvoir Adjudicateur</w:t>
            </w:r>
          </w:p>
        </w:tc>
      </w:tr>
      <w:tr w:rsidR="00856BDF" w:rsidRPr="00930A63">
        <w:trPr>
          <w:trHeight w:val="877"/>
        </w:trPr>
        <w:tc>
          <w:tcPr>
            <w:tcW w:w="0" w:type="auto"/>
          </w:tcPr>
          <w:p w:rsidR="00856BDF" w:rsidRPr="00930A63" w:rsidRDefault="00380E4B" w:rsidP="00752560">
            <w:pPr>
              <w:pStyle w:val="Default"/>
              <w:jc w:val="both"/>
              <w:rPr>
                <w:rFonts w:ascii="Calibri" w:hAnsi="Calibri"/>
                <w:sz w:val="22"/>
              </w:rPr>
            </w:pPr>
            <w:r>
              <w:rPr>
                <w:rFonts w:ascii="Calibri" w:hAnsi="Calibri"/>
                <w:sz w:val="22"/>
              </w:rPr>
              <w:t>La c</w:t>
            </w:r>
            <w:r w:rsidR="00856BDF" w:rsidRPr="00930A63">
              <w:rPr>
                <w:rFonts w:ascii="Calibri" w:hAnsi="Calibri"/>
                <w:sz w:val="22"/>
              </w:rPr>
              <w:t>ommune d</w:t>
            </w:r>
            <w:r w:rsidR="00DC697D">
              <w:rPr>
                <w:rFonts w:ascii="Calibri" w:hAnsi="Calibri"/>
                <w:sz w:val="22"/>
              </w:rPr>
              <w:t xml:space="preserve">e </w:t>
            </w:r>
            <w:r w:rsidR="00A90672">
              <w:rPr>
                <w:rFonts w:ascii="Calibri" w:hAnsi="Calibri"/>
                <w:sz w:val="22"/>
              </w:rPr>
              <w:t>Gouesnou</w:t>
            </w:r>
            <w:r w:rsidR="00752560">
              <w:rPr>
                <w:rFonts w:ascii="Calibri" w:hAnsi="Calibri"/>
                <w:sz w:val="22"/>
              </w:rPr>
              <w:t xml:space="preserve"> </w:t>
            </w:r>
            <w:r w:rsidR="00856BDF" w:rsidRPr="00930A63">
              <w:rPr>
                <w:rFonts w:ascii="Calibri" w:hAnsi="Calibri"/>
                <w:sz w:val="22"/>
              </w:rPr>
              <w:t xml:space="preserve">est désignée comme </w:t>
            </w:r>
            <w:r w:rsidR="00856BDF">
              <w:rPr>
                <w:rFonts w:ascii="Calibri" w:hAnsi="Calibri"/>
                <w:sz w:val="22"/>
              </w:rPr>
              <w:t>pouvoir adjudicateur</w:t>
            </w:r>
            <w:r w:rsidR="00613C7F">
              <w:rPr>
                <w:rFonts w:ascii="Calibri" w:hAnsi="Calibri"/>
                <w:sz w:val="22"/>
              </w:rPr>
              <w:t>.</w:t>
            </w:r>
          </w:p>
        </w:tc>
      </w:tr>
      <w:tr w:rsidR="002769F6" w:rsidRPr="00930A63">
        <w:trPr>
          <w:trHeight w:val="305"/>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Représentant du pouvoir adjudicateur</w:t>
            </w:r>
            <w:r w:rsidRPr="00930A63">
              <w:rPr>
                <w:rFonts w:ascii="Calibri" w:hAnsi="Calibri"/>
                <w:sz w:val="22"/>
              </w:rPr>
              <w:t xml:space="preserve"> </w:t>
            </w:r>
          </w:p>
        </w:tc>
      </w:tr>
      <w:tr w:rsidR="00856BDF" w:rsidRPr="00930A63">
        <w:trPr>
          <w:trHeight w:val="317"/>
        </w:trPr>
        <w:tc>
          <w:tcPr>
            <w:tcW w:w="0" w:type="auto"/>
          </w:tcPr>
          <w:p w:rsidR="00856BDF" w:rsidRPr="00930A63" w:rsidRDefault="00856BDF" w:rsidP="00EA5221">
            <w:pPr>
              <w:pStyle w:val="Default"/>
              <w:jc w:val="both"/>
              <w:rPr>
                <w:rFonts w:ascii="Calibri" w:hAnsi="Calibri"/>
                <w:sz w:val="22"/>
              </w:rPr>
            </w:pPr>
            <w:r w:rsidRPr="00930A63">
              <w:rPr>
                <w:rFonts w:ascii="Calibri" w:hAnsi="Calibri"/>
                <w:sz w:val="22"/>
              </w:rPr>
              <w:t xml:space="preserve">Monsieur le Maire de la commune </w:t>
            </w:r>
            <w:r w:rsidR="00DC697D">
              <w:rPr>
                <w:rFonts w:ascii="Calibri" w:hAnsi="Calibri"/>
                <w:sz w:val="22"/>
              </w:rPr>
              <w:t xml:space="preserve">de </w:t>
            </w:r>
            <w:r w:rsidR="00A90672">
              <w:rPr>
                <w:rFonts w:ascii="Calibri" w:hAnsi="Calibri"/>
                <w:sz w:val="22"/>
              </w:rPr>
              <w:t>Gouesnou</w:t>
            </w:r>
            <w:r w:rsidR="00F17EA4">
              <w:rPr>
                <w:rFonts w:ascii="Calibri" w:hAnsi="Calibri"/>
                <w:sz w:val="22"/>
              </w:rPr>
              <w:t xml:space="preserve"> </w:t>
            </w:r>
            <w:r w:rsidRPr="00930A63">
              <w:rPr>
                <w:rFonts w:ascii="Calibri" w:hAnsi="Calibri"/>
                <w:sz w:val="22"/>
              </w:rPr>
              <w:t>ou son représentant</w:t>
            </w:r>
            <w:r w:rsidR="00613C7F">
              <w:rPr>
                <w:rFonts w:ascii="Calibri" w:hAnsi="Calibri"/>
                <w:sz w:val="22"/>
              </w:rPr>
              <w:t>.</w:t>
            </w:r>
            <w:r w:rsidRPr="00930A63">
              <w:rPr>
                <w:rFonts w:ascii="Calibri" w:hAnsi="Calibri"/>
                <w:sz w:val="22"/>
              </w:rPr>
              <w:t xml:space="preserve"> </w:t>
            </w:r>
          </w:p>
        </w:tc>
      </w:tr>
    </w:tbl>
    <w:p w:rsidR="002769F6" w:rsidRPr="00930A63" w:rsidRDefault="002769F6" w:rsidP="00AE4BA3">
      <w:pPr>
        <w:pStyle w:val="Default"/>
        <w:jc w:val="both"/>
        <w:rPr>
          <w:rFonts w:ascii="Calibri" w:hAnsi="Calibri"/>
          <w:color w:val="auto"/>
          <w:sz w:val="22"/>
        </w:rPr>
      </w:pPr>
      <w:r w:rsidRPr="00930A63">
        <w:rPr>
          <w:rFonts w:ascii="Calibri" w:hAnsi="Calibri"/>
          <w:color w:val="auto"/>
          <w:sz w:val="22"/>
        </w:rPr>
        <w:t xml:space="preserve"> </w:t>
      </w:r>
    </w:p>
    <w:tbl>
      <w:tblPr>
        <w:tblW w:w="0" w:type="auto"/>
        <w:tblBorders>
          <w:top w:val="nil"/>
          <w:left w:val="nil"/>
          <w:bottom w:val="nil"/>
          <w:right w:val="nil"/>
        </w:tblBorders>
        <w:tblLook w:val="0000" w:firstRow="0" w:lastRow="0" w:firstColumn="0" w:lastColumn="0" w:noHBand="0" w:noVBand="0"/>
      </w:tblPr>
      <w:tblGrid>
        <w:gridCol w:w="5637"/>
      </w:tblGrid>
      <w:tr w:rsidR="002769F6" w:rsidRPr="00930A63" w:rsidTr="006C37F7">
        <w:trPr>
          <w:trHeight w:val="301"/>
        </w:trPr>
        <w:tc>
          <w:tcPr>
            <w:tcW w:w="5637" w:type="dxa"/>
          </w:tcPr>
          <w:p w:rsidR="002769F6" w:rsidRPr="00930A63" w:rsidRDefault="006C37F7" w:rsidP="006C37F7">
            <w:pPr>
              <w:pStyle w:val="Default"/>
              <w:jc w:val="both"/>
              <w:rPr>
                <w:rFonts w:ascii="Calibri" w:hAnsi="Calibri"/>
                <w:sz w:val="22"/>
              </w:rPr>
            </w:pPr>
            <w:r w:rsidRPr="00930A63">
              <w:rPr>
                <w:rFonts w:ascii="Calibri" w:hAnsi="Calibri"/>
                <w:b/>
                <w:bCs/>
                <w:sz w:val="22"/>
              </w:rPr>
              <w:t>Objet du marché</w:t>
            </w:r>
          </w:p>
        </w:tc>
      </w:tr>
      <w:tr w:rsidR="002769F6" w:rsidRPr="00930A63" w:rsidTr="006C37F7">
        <w:trPr>
          <w:trHeight w:val="368"/>
        </w:trPr>
        <w:tc>
          <w:tcPr>
            <w:tcW w:w="5637" w:type="dxa"/>
          </w:tcPr>
          <w:p w:rsidR="002769F6" w:rsidRPr="00930A63" w:rsidRDefault="002769F6" w:rsidP="00C65E4D">
            <w:pPr>
              <w:pStyle w:val="Default"/>
              <w:jc w:val="both"/>
              <w:rPr>
                <w:rFonts w:ascii="Calibri" w:hAnsi="Calibri"/>
                <w:sz w:val="22"/>
              </w:rPr>
            </w:pPr>
            <w:r w:rsidRPr="00930A63">
              <w:rPr>
                <w:rFonts w:ascii="Calibri" w:hAnsi="Calibri"/>
                <w:bCs/>
                <w:sz w:val="22"/>
              </w:rPr>
              <w:t xml:space="preserve">Achat et distribution d’électricité  </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8796"/>
      </w:tblGrid>
      <w:tr w:rsidR="002769F6" w:rsidRPr="00930A63">
        <w:trPr>
          <w:trHeight w:val="303"/>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Procédure </w:t>
            </w:r>
          </w:p>
        </w:tc>
      </w:tr>
      <w:tr w:rsidR="00856BDF" w:rsidRPr="00930A63">
        <w:trPr>
          <w:trHeight w:val="599"/>
        </w:trPr>
        <w:tc>
          <w:tcPr>
            <w:tcW w:w="0" w:type="auto"/>
          </w:tcPr>
          <w:p w:rsidR="00856BDF" w:rsidRPr="00930A63" w:rsidRDefault="00856BDF" w:rsidP="00A90672">
            <w:pPr>
              <w:pStyle w:val="Default"/>
              <w:jc w:val="both"/>
              <w:rPr>
                <w:rFonts w:ascii="Calibri" w:hAnsi="Calibri"/>
                <w:sz w:val="22"/>
              </w:rPr>
            </w:pPr>
            <w:r w:rsidRPr="00930A63">
              <w:rPr>
                <w:rFonts w:ascii="Calibri" w:hAnsi="Calibri"/>
                <w:sz w:val="22"/>
              </w:rPr>
              <w:t>Appel d’offres ouvert lancé en application de</w:t>
            </w:r>
            <w:r>
              <w:rPr>
                <w:rFonts w:ascii="Calibri" w:hAnsi="Calibri"/>
                <w:sz w:val="22"/>
              </w:rPr>
              <w:t>s articles  33, 57 à 59</w:t>
            </w:r>
            <w:r w:rsidR="00A90672">
              <w:rPr>
                <w:rFonts w:ascii="Calibri" w:hAnsi="Calibri"/>
                <w:sz w:val="22"/>
              </w:rPr>
              <w:t xml:space="preserve"> </w:t>
            </w:r>
            <w:r w:rsidRPr="00930A63">
              <w:rPr>
                <w:rFonts w:ascii="Calibri" w:hAnsi="Calibri"/>
                <w:sz w:val="22"/>
              </w:rPr>
              <w:t>du Code des Marchés Publics</w:t>
            </w:r>
            <w:r w:rsidR="00613C7F">
              <w:rPr>
                <w:rFonts w:ascii="Calibri" w:hAnsi="Calibri"/>
                <w:sz w:val="22"/>
              </w:rPr>
              <w:t>.</w:t>
            </w:r>
            <w:r w:rsidRPr="00930A63">
              <w:rPr>
                <w:rFonts w:ascii="Calibri" w:hAnsi="Calibri"/>
                <w:sz w:val="22"/>
              </w:rPr>
              <w:t xml:space="preserve"> </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9358"/>
      </w:tblGrid>
      <w:tr w:rsidR="002769F6" w:rsidRPr="00930A63" w:rsidTr="00930A63">
        <w:trPr>
          <w:trHeight w:val="226"/>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Personne habilitée à donner les renseignements prévus à l'article 109 du Code des Marchés Publics : </w:t>
            </w:r>
          </w:p>
        </w:tc>
      </w:tr>
      <w:tr w:rsidR="00856BDF" w:rsidRPr="00930A63">
        <w:trPr>
          <w:trHeight w:val="320"/>
        </w:trPr>
        <w:tc>
          <w:tcPr>
            <w:tcW w:w="0" w:type="auto"/>
          </w:tcPr>
          <w:p w:rsidR="00856BDF" w:rsidRPr="00930A63" w:rsidRDefault="00856BDF" w:rsidP="002919AE">
            <w:pPr>
              <w:pStyle w:val="Default"/>
              <w:jc w:val="both"/>
              <w:rPr>
                <w:rFonts w:ascii="Calibri" w:hAnsi="Calibri"/>
                <w:sz w:val="22"/>
              </w:rPr>
            </w:pPr>
            <w:r>
              <w:rPr>
                <w:rFonts w:ascii="Calibri" w:hAnsi="Calibri"/>
                <w:sz w:val="22"/>
              </w:rPr>
              <w:t>M</w:t>
            </w:r>
            <w:r w:rsidRPr="00930A63">
              <w:rPr>
                <w:rFonts w:ascii="Calibri" w:hAnsi="Calibri"/>
                <w:sz w:val="22"/>
              </w:rPr>
              <w:t>onsieur le Maire de la commune d</w:t>
            </w:r>
            <w:r w:rsidR="00DC697D">
              <w:rPr>
                <w:rFonts w:ascii="Calibri" w:hAnsi="Calibri"/>
                <w:sz w:val="22"/>
              </w:rPr>
              <w:t xml:space="preserve">e </w:t>
            </w:r>
            <w:r w:rsidR="00A90672">
              <w:rPr>
                <w:rFonts w:ascii="Calibri" w:hAnsi="Calibri"/>
                <w:sz w:val="22"/>
              </w:rPr>
              <w:t>Gouesnou</w:t>
            </w:r>
            <w:r w:rsidR="00F17EA4">
              <w:rPr>
                <w:rFonts w:ascii="Calibri" w:hAnsi="Calibri"/>
                <w:sz w:val="22"/>
              </w:rPr>
              <w:t xml:space="preserve"> </w:t>
            </w:r>
            <w:r w:rsidRPr="00930A63">
              <w:rPr>
                <w:rFonts w:ascii="Calibri" w:hAnsi="Calibri"/>
                <w:sz w:val="22"/>
              </w:rPr>
              <w:t>ou son représentant.</w:t>
            </w:r>
          </w:p>
        </w:tc>
      </w:tr>
    </w:tbl>
    <w:p w:rsidR="002769F6" w:rsidRPr="00930A63" w:rsidRDefault="002769F6" w:rsidP="00AE4BA3">
      <w:pPr>
        <w:pStyle w:val="Default"/>
        <w:jc w:val="both"/>
        <w:rPr>
          <w:rFonts w:ascii="Calibri" w:hAnsi="Calibri"/>
          <w:color w:val="auto"/>
          <w:sz w:val="18"/>
          <w:szCs w:val="20"/>
        </w:rPr>
      </w:pPr>
      <w:r w:rsidRPr="00930A63">
        <w:rPr>
          <w:rFonts w:ascii="Calibri" w:hAnsi="Calibri"/>
          <w:color w:val="auto"/>
          <w:sz w:val="18"/>
          <w:szCs w:val="20"/>
        </w:rPr>
        <w:t xml:space="preserve"> </w:t>
      </w:r>
    </w:p>
    <w:tbl>
      <w:tblPr>
        <w:tblW w:w="0" w:type="auto"/>
        <w:tblBorders>
          <w:top w:val="nil"/>
          <w:left w:val="nil"/>
          <w:bottom w:val="nil"/>
          <w:right w:val="nil"/>
        </w:tblBorders>
        <w:tblLook w:val="0000" w:firstRow="0" w:lastRow="0" w:firstColumn="0" w:lastColumn="0" w:noHBand="0" w:noVBand="0"/>
      </w:tblPr>
      <w:tblGrid>
        <w:gridCol w:w="6454"/>
      </w:tblGrid>
      <w:tr w:rsidR="002769F6" w:rsidRPr="00930A63">
        <w:trPr>
          <w:trHeight w:val="303"/>
        </w:trPr>
        <w:tc>
          <w:tcPr>
            <w:tcW w:w="0" w:type="auto"/>
          </w:tcPr>
          <w:p w:rsidR="002769F6" w:rsidRPr="00930A63" w:rsidRDefault="002769F6" w:rsidP="00AE4BA3">
            <w:pPr>
              <w:pStyle w:val="Default"/>
              <w:jc w:val="both"/>
              <w:rPr>
                <w:rFonts w:ascii="Calibri" w:hAnsi="Calibri"/>
                <w:sz w:val="22"/>
              </w:rPr>
            </w:pPr>
            <w:r w:rsidRPr="00930A63">
              <w:rPr>
                <w:rFonts w:ascii="Calibri" w:hAnsi="Calibri"/>
                <w:b/>
                <w:bCs/>
                <w:sz w:val="22"/>
              </w:rPr>
              <w:t xml:space="preserve">Ordonnateurs </w:t>
            </w:r>
          </w:p>
        </w:tc>
      </w:tr>
      <w:tr w:rsidR="002769F6" w:rsidRPr="00930A63">
        <w:trPr>
          <w:trHeight w:val="598"/>
        </w:trPr>
        <w:tc>
          <w:tcPr>
            <w:tcW w:w="0" w:type="auto"/>
          </w:tcPr>
          <w:p w:rsidR="002769F6" w:rsidRPr="00930A63" w:rsidRDefault="00856BDF" w:rsidP="00B5669F">
            <w:pPr>
              <w:pStyle w:val="Default"/>
              <w:jc w:val="both"/>
              <w:rPr>
                <w:rFonts w:ascii="Calibri" w:hAnsi="Calibri"/>
                <w:sz w:val="22"/>
              </w:rPr>
            </w:pPr>
            <w:r>
              <w:rPr>
                <w:rFonts w:ascii="Calibri" w:hAnsi="Calibri"/>
                <w:sz w:val="22"/>
              </w:rPr>
              <w:t>M</w:t>
            </w:r>
            <w:r w:rsidRPr="00930A63">
              <w:rPr>
                <w:rFonts w:ascii="Calibri" w:hAnsi="Calibri"/>
                <w:sz w:val="22"/>
              </w:rPr>
              <w:t>onsieur le Maire de la commune d</w:t>
            </w:r>
            <w:r w:rsidR="00DC697D">
              <w:rPr>
                <w:rFonts w:ascii="Calibri" w:hAnsi="Calibri"/>
                <w:sz w:val="22"/>
              </w:rPr>
              <w:t xml:space="preserve">e </w:t>
            </w:r>
            <w:r w:rsidR="00A90672">
              <w:rPr>
                <w:rFonts w:ascii="Calibri" w:hAnsi="Calibri"/>
                <w:sz w:val="22"/>
              </w:rPr>
              <w:t>Gouesnou</w:t>
            </w:r>
            <w:r w:rsidR="007D6F61">
              <w:rPr>
                <w:rFonts w:ascii="Calibri" w:hAnsi="Calibri"/>
                <w:sz w:val="22"/>
              </w:rPr>
              <w:t xml:space="preserve"> </w:t>
            </w:r>
            <w:r w:rsidRPr="00930A63">
              <w:rPr>
                <w:rFonts w:ascii="Calibri" w:hAnsi="Calibri"/>
                <w:sz w:val="22"/>
              </w:rPr>
              <w:t>ou son représentant.</w:t>
            </w:r>
          </w:p>
        </w:tc>
      </w:tr>
      <w:tr w:rsidR="00EA5221" w:rsidRPr="00930A63">
        <w:trPr>
          <w:trHeight w:val="598"/>
        </w:trPr>
        <w:tc>
          <w:tcPr>
            <w:tcW w:w="0" w:type="auto"/>
          </w:tcPr>
          <w:p w:rsidR="00EA5221" w:rsidRDefault="00EA5221" w:rsidP="00B5669F">
            <w:pPr>
              <w:pStyle w:val="Default"/>
              <w:jc w:val="both"/>
              <w:rPr>
                <w:rFonts w:ascii="Calibri" w:hAnsi="Calibri"/>
                <w:sz w:val="22"/>
              </w:rPr>
            </w:pPr>
          </w:p>
        </w:tc>
      </w:tr>
    </w:tbl>
    <w:p w:rsidR="002769F6" w:rsidRDefault="002769F6" w:rsidP="00AE4BA3">
      <w:pPr>
        <w:pStyle w:val="Default"/>
        <w:jc w:val="both"/>
        <w:rPr>
          <w:rFonts w:ascii="Calibri" w:hAnsi="Calibri" w:cs="Times New Roman"/>
          <w:color w:val="auto"/>
        </w:rPr>
      </w:pPr>
    </w:p>
    <w:tbl>
      <w:tblPr>
        <w:tblStyle w:val="Grilledutableau"/>
        <w:tblW w:w="0" w:type="auto"/>
        <w:tblLook w:val="04A0" w:firstRow="1" w:lastRow="0" w:firstColumn="1" w:lastColumn="0" w:noHBand="0" w:noVBand="1"/>
      </w:tblPr>
      <w:tblGrid>
        <w:gridCol w:w="4773"/>
        <w:gridCol w:w="4773"/>
      </w:tblGrid>
      <w:tr w:rsidR="00930A63" w:rsidTr="00930A63">
        <w:tc>
          <w:tcPr>
            <w:tcW w:w="4773" w:type="dxa"/>
          </w:tcPr>
          <w:p w:rsidR="00930A63" w:rsidRPr="00380E4B" w:rsidRDefault="00930A63" w:rsidP="00AE4BA3">
            <w:pPr>
              <w:pStyle w:val="Default"/>
              <w:jc w:val="both"/>
              <w:rPr>
                <w:rFonts w:ascii="Calibri" w:hAnsi="Calibri" w:cs="Times New Roman"/>
                <w:b/>
                <w:color w:val="auto"/>
                <w:sz w:val="22"/>
              </w:rPr>
            </w:pPr>
            <w:r w:rsidRPr="00380E4B">
              <w:rPr>
                <w:rFonts w:ascii="Calibri" w:hAnsi="Calibri" w:cs="Times New Roman"/>
                <w:b/>
                <w:color w:val="auto"/>
                <w:sz w:val="22"/>
              </w:rPr>
              <w:t>Acceptation du candidat</w:t>
            </w:r>
          </w:p>
          <w:p w:rsidR="00930A63" w:rsidRPr="00DB3D76" w:rsidRDefault="00930A63" w:rsidP="00AE4BA3">
            <w:pPr>
              <w:pStyle w:val="Default"/>
              <w:jc w:val="both"/>
              <w:rPr>
                <w:rFonts w:ascii="Calibri" w:hAnsi="Calibri" w:cs="Times New Roman"/>
                <w:color w:val="auto"/>
                <w:sz w:val="22"/>
              </w:rPr>
            </w:pPr>
            <w:r w:rsidRPr="00DB3D76">
              <w:rPr>
                <w:rFonts w:ascii="Calibri" w:hAnsi="Calibri" w:cs="Times New Roman"/>
                <w:color w:val="auto"/>
                <w:sz w:val="22"/>
              </w:rPr>
              <w:t>Le candidat soussigné atteste avoir pris connaissance du présent CCAP et en accepter les termes sans réserve ni modification</w:t>
            </w:r>
          </w:p>
          <w:p w:rsidR="00930A63" w:rsidRPr="00DB3D76" w:rsidRDefault="00930A63" w:rsidP="00AE4BA3">
            <w:pPr>
              <w:pStyle w:val="Default"/>
              <w:jc w:val="both"/>
              <w:rPr>
                <w:rFonts w:ascii="Calibri" w:hAnsi="Calibri" w:cs="Times New Roman"/>
                <w:color w:val="auto"/>
                <w:sz w:val="22"/>
              </w:rPr>
            </w:pPr>
            <w:r w:rsidRPr="00DB3D76">
              <w:rPr>
                <w:rFonts w:ascii="Calibri" w:hAnsi="Calibri" w:cs="Times New Roman"/>
                <w:color w:val="auto"/>
                <w:sz w:val="22"/>
              </w:rPr>
              <w:t>A                                le</w:t>
            </w:r>
          </w:p>
          <w:p w:rsidR="00930A63" w:rsidRDefault="00930A63" w:rsidP="00AE4BA3">
            <w:pPr>
              <w:pStyle w:val="Default"/>
              <w:jc w:val="both"/>
              <w:rPr>
                <w:rFonts w:ascii="Calibri" w:hAnsi="Calibri" w:cs="Times New Roman"/>
                <w:i/>
                <w:color w:val="auto"/>
                <w:sz w:val="22"/>
              </w:rPr>
            </w:pPr>
            <w:r w:rsidRPr="00DB3D76">
              <w:rPr>
                <w:rFonts w:ascii="Calibri" w:hAnsi="Calibri" w:cs="Times New Roman"/>
                <w:i/>
                <w:color w:val="auto"/>
                <w:sz w:val="22"/>
              </w:rPr>
              <w:t>Signature du candidat</w:t>
            </w:r>
          </w:p>
          <w:p w:rsidR="00DB3D76" w:rsidRDefault="00DB3D76" w:rsidP="00AE4BA3">
            <w:pPr>
              <w:pStyle w:val="Default"/>
              <w:jc w:val="both"/>
              <w:rPr>
                <w:rFonts w:ascii="Calibri" w:hAnsi="Calibri" w:cs="Times New Roman"/>
                <w:i/>
                <w:color w:val="auto"/>
                <w:sz w:val="22"/>
              </w:rPr>
            </w:pPr>
          </w:p>
          <w:p w:rsidR="00DB3D76" w:rsidRDefault="00DB3D76"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EA5221" w:rsidRDefault="00EA5221" w:rsidP="00AE4BA3">
            <w:pPr>
              <w:pStyle w:val="Default"/>
              <w:jc w:val="both"/>
              <w:rPr>
                <w:rFonts w:ascii="Calibri" w:hAnsi="Calibri" w:cs="Times New Roman"/>
                <w:i/>
                <w:color w:val="auto"/>
                <w:sz w:val="22"/>
              </w:rPr>
            </w:pPr>
          </w:p>
          <w:p w:rsidR="00930A63" w:rsidRPr="00930A63" w:rsidRDefault="00930A63" w:rsidP="00AE4BA3">
            <w:pPr>
              <w:pStyle w:val="Default"/>
              <w:jc w:val="both"/>
              <w:rPr>
                <w:rFonts w:ascii="Calibri" w:hAnsi="Calibri" w:cs="Times New Roman"/>
                <w:i/>
                <w:color w:val="auto"/>
              </w:rPr>
            </w:pPr>
          </w:p>
        </w:tc>
        <w:tc>
          <w:tcPr>
            <w:tcW w:w="4773" w:type="dxa"/>
          </w:tcPr>
          <w:p w:rsidR="00930A63" w:rsidRPr="00380E4B" w:rsidRDefault="00930A63" w:rsidP="00AE4BA3">
            <w:pPr>
              <w:pStyle w:val="Default"/>
              <w:jc w:val="both"/>
              <w:rPr>
                <w:rFonts w:ascii="Calibri" w:hAnsi="Calibri" w:cs="Times New Roman"/>
                <w:b/>
                <w:color w:val="auto"/>
                <w:sz w:val="22"/>
              </w:rPr>
            </w:pPr>
            <w:r w:rsidRPr="00380E4B">
              <w:rPr>
                <w:rFonts w:ascii="Calibri" w:hAnsi="Calibri" w:cs="Times New Roman"/>
                <w:b/>
                <w:color w:val="auto"/>
                <w:sz w:val="22"/>
              </w:rPr>
              <w:t>Acceptation du pouvoir Adjudicateur</w:t>
            </w:r>
          </w:p>
          <w:p w:rsidR="00930A63" w:rsidRPr="00DB3D76" w:rsidRDefault="00930A63" w:rsidP="00AE4BA3">
            <w:pPr>
              <w:pStyle w:val="Default"/>
              <w:jc w:val="both"/>
              <w:rPr>
                <w:rFonts w:ascii="Calibri" w:hAnsi="Calibri" w:cs="Times New Roman"/>
                <w:color w:val="auto"/>
                <w:sz w:val="22"/>
              </w:rPr>
            </w:pPr>
          </w:p>
          <w:p w:rsidR="00930A63" w:rsidRDefault="00A90672" w:rsidP="002A1E9C">
            <w:pPr>
              <w:pStyle w:val="Default"/>
              <w:jc w:val="both"/>
              <w:rPr>
                <w:rFonts w:ascii="Calibri" w:hAnsi="Calibri" w:cs="Times New Roman"/>
                <w:color w:val="auto"/>
              </w:rPr>
            </w:pPr>
            <w:r>
              <w:rPr>
                <w:rFonts w:ascii="Calibri" w:hAnsi="Calibri"/>
                <w:sz w:val="22"/>
              </w:rPr>
              <w:t>Gouesnou</w:t>
            </w:r>
            <w:r w:rsidR="00930A63" w:rsidRPr="00DB3D76">
              <w:rPr>
                <w:rFonts w:ascii="Calibri" w:hAnsi="Calibri" w:cs="Times New Roman"/>
                <w:color w:val="auto"/>
                <w:sz w:val="22"/>
              </w:rPr>
              <w:t>, le</w:t>
            </w:r>
          </w:p>
        </w:tc>
      </w:tr>
    </w:tbl>
    <w:p w:rsidR="00EA5221" w:rsidRDefault="002769F6" w:rsidP="00380E4B">
      <w:pPr>
        <w:pStyle w:val="Default"/>
        <w:jc w:val="both"/>
        <w:rPr>
          <w:rFonts w:ascii="Calibri" w:hAnsi="Calibri" w:cs="Times New Roman"/>
          <w:color w:val="auto"/>
          <w:sz w:val="20"/>
          <w:szCs w:val="20"/>
        </w:rPr>
      </w:pPr>
      <w:r w:rsidRPr="002769F6">
        <w:rPr>
          <w:rFonts w:ascii="Calibri" w:hAnsi="Calibri" w:cs="Times New Roman"/>
          <w:color w:val="auto"/>
          <w:sz w:val="20"/>
          <w:szCs w:val="20"/>
        </w:rPr>
        <w:t xml:space="preserve"> </w:t>
      </w:r>
    </w:p>
    <w:sdt>
      <w:sdtPr>
        <w:rPr>
          <w:rFonts w:ascii="Calibri" w:eastAsia="Times New Roman" w:hAnsi="Calibri" w:cs="Times New Roman"/>
          <w:b w:val="0"/>
          <w:bCs w:val="0"/>
          <w:color w:val="auto"/>
          <w:sz w:val="22"/>
          <w:szCs w:val="22"/>
          <w:lang w:eastAsia="fr-FR"/>
        </w:rPr>
        <w:id w:val="1864816850"/>
        <w:docPartObj>
          <w:docPartGallery w:val="Table of Contents"/>
          <w:docPartUnique/>
        </w:docPartObj>
      </w:sdtPr>
      <w:sdtEndPr/>
      <w:sdtContent>
        <w:p w:rsidR="00CA3640" w:rsidRDefault="00CA3640" w:rsidP="00EA5221">
          <w:pPr>
            <w:pStyle w:val="En-ttedetabledesmatires"/>
          </w:pPr>
          <w:r>
            <w:t>Sommaire</w:t>
          </w:r>
        </w:p>
        <w:p w:rsidR="00EA5221" w:rsidRPr="00EA5221" w:rsidRDefault="00EA5221" w:rsidP="00EA5221">
          <w:pPr>
            <w:rPr>
              <w:lang w:eastAsia="en-US"/>
            </w:rPr>
          </w:pPr>
        </w:p>
        <w:p w:rsidR="004712CA" w:rsidRDefault="00272694">
          <w:pPr>
            <w:pStyle w:val="TM1"/>
            <w:tabs>
              <w:tab w:val="right" w:leader="dot" w:pos="9396"/>
            </w:tabs>
            <w:rPr>
              <w:rFonts w:asciiTheme="minorHAnsi" w:eastAsiaTheme="minorEastAsia" w:hAnsiTheme="minorHAnsi" w:cstheme="minorBidi"/>
              <w:noProof/>
            </w:rPr>
          </w:pPr>
          <w:r>
            <w:fldChar w:fldCharType="begin"/>
          </w:r>
          <w:r w:rsidR="00CA3640">
            <w:instrText xml:space="preserve"> TOC \o "1-3" \h \z \u </w:instrText>
          </w:r>
          <w:r>
            <w:fldChar w:fldCharType="separate"/>
          </w:r>
          <w:hyperlink w:anchor="_Toc434355917" w:history="1">
            <w:r w:rsidR="004712CA" w:rsidRPr="003751B8">
              <w:rPr>
                <w:rStyle w:val="Lienhypertexte"/>
                <w:noProof/>
              </w:rPr>
              <w:t>ARTICLE 1 : OBJET DU MARCHE– DISPOSITIONS GENERALES</w:t>
            </w:r>
            <w:r w:rsidR="004712CA">
              <w:rPr>
                <w:noProof/>
                <w:webHidden/>
              </w:rPr>
              <w:tab/>
            </w:r>
            <w:r w:rsidR="004712CA">
              <w:rPr>
                <w:noProof/>
                <w:webHidden/>
              </w:rPr>
              <w:fldChar w:fldCharType="begin"/>
            </w:r>
            <w:r w:rsidR="004712CA">
              <w:rPr>
                <w:noProof/>
                <w:webHidden/>
              </w:rPr>
              <w:instrText xml:space="preserve"> PAGEREF _Toc434355917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18" w:history="1">
            <w:r w:rsidR="004712CA" w:rsidRPr="003751B8">
              <w:rPr>
                <w:rStyle w:val="Lienhypertexte"/>
                <w:noProof/>
              </w:rPr>
              <w:t>1.1. Objet</w:t>
            </w:r>
            <w:r w:rsidR="004712CA">
              <w:rPr>
                <w:noProof/>
                <w:webHidden/>
              </w:rPr>
              <w:tab/>
            </w:r>
            <w:r w:rsidR="004712CA">
              <w:rPr>
                <w:noProof/>
                <w:webHidden/>
              </w:rPr>
              <w:fldChar w:fldCharType="begin"/>
            </w:r>
            <w:r w:rsidR="004712CA">
              <w:rPr>
                <w:noProof/>
                <w:webHidden/>
              </w:rPr>
              <w:instrText xml:space="preserve"> PAGEREF _Toc434355918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19" w:history="1">
            <w:r w:rsidR="004712CA" w:rsidRPr="003751B8">
              <w:rPr>
                <w:rStyle w:val="Lienhypertexte"/>
                <w:noProof/>
              </w:rPr>
              <w:t>1.2. Forme du marché</w:t>
            </w:r>
            <w:r w:rsidR="004712CA">
              <w:rPr>
                <w:noProof/>
                <w:webHidden/>
              </w:rPr>
              <w:tab/>
            </w:r>
            <w:r w:rsidR="004712CA">
              <w:rPr>
                <w:noProof/>
                <w:webHidden/>
              </w:rPr>
              <w:fldChar w:fldCharType="begin"/>
            </w:r>
            <w:r w:rsidR="004712CA">
              <w:rPr>
                <w:noProof/>
                <w:webHidden/>
              </w:rPr>
              <w:instrText xml:space="preserve"> PAGEREF _Toc434355919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0" w:history="1">
            <w:r w:rsidR="004712CA" w:rsidRPr="003751B8">
              <w:rPr>
                <w:rStyle w:val="Lienhypertexte"/>
                <w:noProof/>
              </w:rPr>
              <w:t>1.3. Montant du marché</w:t>
            </w:r>
            <w:r w:rsidR="004712CA">
              <w:rPr>
                <w:noProof/>
                <w:webHidden/>
              </w:rPr>
              <w:tab/>
            </w:r>
            <w:r w:rsidR="004712CA">
              <w:rPr>
                <w:noProof/>
                <w:webHidden/>
              </w:rPr>
              <w:fldChar w:fldCharType="begin"/>
            </w:r>
            <w:r w:rsidR="004712CA">
              <w:rPr>
                <w:noProof/>
                <w:webHidden/>
              </w:rPr>
              <w:instrText xml:space="preserve"> PAGEREF _Toc434355920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1" w:history="1">
            <w:r w:rsidR="004712CA" w:rsidRPr="003751B8">
              <w:rPr>
                <w:rStyle w:val="Lienhypertexte"/>
                <w:noProof/>
              </w:rPr>
              <w:t>1.4. Allotissement</w:t>
            </w:r>
            <w:r w:rsidR="004712CA">
              <w:rPr>
                <w:noProof/>
                <w:webHidden/>
              </w:rPr>
              <w:tab/>
            </w:r>
            <w:r w:rsidR="004712CA">
              <w:rPr>
                <w:noProof/>
                <w:webHidden/>
              </w:rPr>
              <w:fldChar w:fldCharType="begin"/>
            </w:r>
            <w:r w:rsidR="004712CA">
              <w:rPr>
                <w:noProof/>
                <w:webHidden/>
              </w:rPr>
              <w:instrText xml:space="preserve"> PAGEREF _Toc434355921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2" w:history="1">
            <w:r w:rsidR="004712CA" w:rsidRPr="003751B8">
              <w:rPr>
                <w:rStyle w:val="Lienhypertexte"/>
                <w:noProof/>
              </w:rPr>
              <w:t>1.5. Lieu d’exécution</w:t>
            </w:r>
            <w:r w:rsidR="004712CA">
              <w:rPr>
                <w:noProof/>
                <w:webHidden/>
              </w:rPr>
              <w:tab/>
            </w:r>
            <w:r w:rsidR="004712CA">
              <w:rPr>
                <w:noProof/>
                <w:webHidden/>
              </w:rPr>
              <w:fldChar w:fldCharType="begin"/>
            </w:r>
            <w:r w:rsidR="004712CA">
              <w:rPr>
                <w:noProof/>
                <w:webHidden/>
              </w:rPr>
              <w:instrText xml:space="preserve"> PAGEREF _Toc434355922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3" w:history="1">
            <w:r w:rsidR="004712CA" w:rsidRPr="003751B8">
              <w:rPr>
                <w:rStyle w:val="Lienhypertexte"/>
                <w:noProof/>
              </w:rPr>
              <w:t>1.6. Durée du marché</w:t>
            </w:r>
            <w:r w:rsidR="004712CA">
              <w:rPr>
                <w:noProof/>
                <w:webHidden/>
              </w:rPr>
              <w:tab/>
            </w:r>
            <w:r w:rsidR="004712CA">
              <w:rPr>
                <w:noProof/>
                <w:webHidden/>
              </w:rPr>
              <w:fldChar w:fldCharType="begin"/>
            </w:r>
            <w:r w:rsidR="004712CA">
              <w:rPr>
                <w:noProof/>
                <w:webHidden/>
              </w:rPr>
              <w:instrText xml:space="preserve"> PAGEREF _Toc434355923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24" w:history="1">
            <w:r w:rsidR="004712CA" w:rsidRPr="003751B8">
              <w:rPr>
                <w:rStyle w:val="Lienhypertexte"/>
                <w:noProof/>
              </w:rPr>
              <w:t>ARTICLE 2 : DOCUMENTS CONTRACTUELS</w:t>
            </w:r>
            <w:r w:rsidR="004712CA">
              <w:rPr>
                <w:noProof/>
                <w:webHidden/>
              </w:rPr>
              <w:tab/>
            </w:r>
            <w:r w:rsidR="004712CA">
              <w:rPr>
                <w:noProof/>
                <w:webHidden/>
              </w:rPr>
              <w:fldChar w:fldCharType="begin"/>
            </w:r>
            <w:r w:rsidR="004712CA">
              <w:rPr>
                <w:noProof/>
                <w:webHidden/>
              </w:rPr>
              <w:instrText xml:space="preserve"> PAGEREF _Toc434355924 \h </w:instrText>
            </w:r>
            <w:r w:rsidR="004712CA">
              <w:rPr>
                <w:noProof/>
                <w:webHidden/>
              </w:rPr>
            </w:r>
            <w:r w:rsidR="004712CA">
              <w:rPr>
                <w:noProof/>
                <w:webHidden/>
              </w:rPr>
              <w:fldChar w:fldCharType="separate"/>
            </w:r>
            <w:r w:rsidR="004712CA">
              <w:rPr>
                <w:noProof/>
                <w:webHidden/>
              </w:rPr>
              <w:t>5</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25" w:history="1">
            <w:r w:rsidR="004712CA" w:rsidRPr="003751B8">
              <w:rPr>
                <w:rStyle w:val="Lienhypertexte"/>
                <w:noProof/>
              </w:rPr>
              <w:t>ARTICLE 3 : MODALITES D’EXECUTION DES PRESTATIONS</w:t>
            </w:r>
            <w:r w:rsidR="004712CA">
              <w:rPr>
                <w:noProof/>
                <w:webHidden/>
              </w:rPr>
              <w:tab/>
            </w:r>
            <w:r w:rsidR="004712CA">
              <w:rPr>
                <w:noProof/>
                <w:webHidden/>
              </w:rPr>
              <w:fldChar w:fldCharType="begin"/>
            </w:r>
            <w:r w:rsidR="004712CA">
              <w:rPr>
                <w:noProof/>
                <w:webHidden/>
              </w:rPr>
              <w:instrText xml:space="preserve"> PAGEREF _Toc434355925 \h </w:instrText>
            </w:r>
            <w:r w:rsidR="004712CA">
              <w:rPr>
                <w:noProof/>
                <w:webHidden/>
              </w:rPr>
            </w:r>
            <w:r w:rsidR="004712CA">
              <w:rPr>
                <w:noProof/>
                <w:webHidden/>
              </w:rPr>
              <w:fldChar w:fldCharType="separate"/>
            </w:r>
            <w:r w:rsidR="004712CA">
              <w:rPr>
                <w:noProof/>
                <w:webHidden/>
              </w:rPr>
              <w:t>6</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6" w:history="1">
            <w:r w:rsidR="004712CA" w:rsidRPr="003751B8">
              <w:rPr>
                <w:rStyle w:val="Lienhypertexte"/>
                <w:noProof/>
              </w:rPr>
              <w:t>3.1. Notification</w:t>
            </w:r>
            <w:r w:rsidR="004712CA">
              <w:rPr>
                <w:noProof/>
                <w:webHidden/>
              </w:rPr>
              <w:tab/>
            </w:r>
            <w:r w:rsidR="004712CA">
              <w:rPr>
                <w:noProof/>
                <w:webHidden/>
              </w:rPr>
              <w:fldChar w:fldCharType="begin"/>
            </w:r>
            <w:r w:rsidR="004712CA">
              <w:rPr>
                <w:noProof/>
                <w:webHidden/>
              </w:rPr>
              <w:instrText xml:space="preserve"> PAGEREF _Toc434355926 \h </w:instrText>
            </w:r>
            <w:r w:rsidR="004712CA">
              <w:rPr>
                <w:noProof/>
                <w:webHidden/>
              </w:rPr>
            </w:r>
            <w:r w:rsidR="004712CA">
              <w:rPr>
                <w:noProof/>
                <w:webHidden/>
              </w:rPr>
              <w:fldChar w:fldCharType="separate"/>
            </w:r>
            <w:r w:rsidR="004712CA">
              <w:rPr>
                <w:noProof/>
                <w:webHidden/>
              </w:rPr>
              <w:t>6</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7" w:history="1">
            <w:r w:rsidR="004712CA" w:rsidRPr="003751B8">
              <w:rPr>
                <w:rStyle w:val="Lienhypertexte"/>
                <w:noProof/>
              </w:rPr>
              <w:t>3.2. Continuité de la fourniture</w:t>
            </w:r>
            <w:r w:rsidR="004712CA">
              <w:rPr>
                <w:noProof/>
                <w:webHidden/>
              </w:rPr>
              <w:tab/>
            </w:r>
            <w:r w:rsidR="004712CA">
              <w:rPr>
                <w:noProof/>
                <w:webHidden/>
              </w:rPr>
              <w:fldChar w:fldCharType="begin"/>
            </w:r>
            <w:r w:rsidR="004712CA">
              <w:rPr>
                <w:noProof/>
                <w:webHidden/>
              </w:rPr>
              <w:instrText xml:space="preserve"> PAGEREF _Toc434355927 \h </w:instrText>
            </w:r>
            <w:r w:rsidR="004712CA">
              <w:rPr>
                <w:noProof/>
                <w:webHidden/>
              </w:rPr>
            </w:r>
            <w:r w:rsidR="004712CA">
              <w:rPr>
                <w:noProof/>
                <w:webHidden/>
              </w:rPr>
              <w:fldChar w:fldCharType="separate"/>
            </w:r>
            <w:r w:rsidR="004712CA">
              <w:rPr>
                <w:noProof/>
                <w:webHidden/>
              </w:rPr>
              <w:t>6</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8" w:history="1">
            <w:r w:rsidR="004712CA" w:rsidRPr="003751B8">
              <w:rPr>
                <w:rStyle w:val="Lienhypertexte"/>
                <w:noProof/>
              </w:rPr>
              <w:t>3.3. Livraison</w:t>
            </w:r>
            <w:r w:rsidR="004712CA">
              <w:rPr>
                <w:noProof/>
                <w:webHidden/>
              </w:rPr>
              <w:tab/>
            </w:r>
            <w:r w:rsidR="004712CA">
              <w:rPr>
                <w:noProof/>
                <w:webHidden/>
              </w:rPr>
              <w:fldChar w:fldCharType="begin"/>
            </w:r>
            <w:r w:rsidR="004712CA">
              <w:rPr>
                <w:noProof/>
                <w:webHidden/>
              </w:rPr>
              <w:instrText xml:space="preserve"> PAGEREF _Toc434355928 \h </w:instrText>
            </w:r>
            <w:r w:rsidR="004712CA">
              <w:rPr>
                <w:noProof/>
                <w:webHidden/>
              </w:rPr>
            </w:r>
            <w:r w:rsidR="004712CA">
              <w:rPr>
                <w:noProof/>
                <w:webHidden/>
              </w:rPr>
              <w:fldChar w:fldCharType="separate"/>
            </w:r>
            <w:r w:rsidR="004712CA">
              <w:rPr>
                <w:noProof/>
                <w:webHidden/>
              </w:rPr>
              <w:t>6</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29" w:history="1">
            <w:r w:rsidR="004712CA" w:rsidRPr="003751B8">
              <w:rPr>
                <w:rStyle w:val="Lienhypertexte"/>
                <w:noProof/>
              </w:rPr>
              <w:t>3.4. Rattachement d’un Point de Livraison (PdL)</w:t>
            </w:r>
            <w:r w:rsidR="004712CA">
              <w:rPr>
                <w:noProof/>
                <w:webHidden/>
              </w:rPr>
              <w:tab/>
            </w:r>
            <w:r w:rsidR="004712CA">
              <w:rPr>
                <w:noProof/>
                <w:webHidden/>
              </w:rPr>
              <w:fldChar w:fldCharType="begin"/>
            </w:r>
            <w:r w:rsidR="004712CA">
              <w:rPr>
                <w:noProof/>
                <w:webHidden/>
              </w:rPr>
              <w:instrText xml:space="preserve"> PAGEREF _Toc434355929 \h </w:instrText>
            </w:r>
            <w:r w:rsidR="004712CA">
              <w:rPr>
                <w:noProof/>
                <w:webHidden/>
              </w:rPr>
            </w:r>
            <w:r w:rsidR="004712CA">
              <w:rPr>
                <w:noProof/>
                <w:webHidden/>
              </w:rPr>
              <w:fldChar w:fldCharType="separate"/>
            </w:r>
            <w:r w:rsidR="004712CA">
              <w:rPr>
                <w:noProof/>
                <w:webHidden/>
              </w:rPr>
              <w:t>6</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0" w:history="1">
            <w:r w:rsidR="004712CA" w:rsidRPr="003751B8">
              <w:rPr>
                <w:rStyle w:val="Lienhypertexte"/>
                <w:noProof/>
              </w:rPr>
              <w:t>3.5. Détachement d’un Point de Livraison (PdL)</w:t>
            </w:r>
            <w:r w:rsidR="004712CA">
              <w:rPr>
                <w:noProof/>
                <w:webHidden/>
              </w:rPr>
              <w:tab/>
            </w:r>
            <w:r w:rsidR="004712CA">
              <w:rPr>
                <w:noProof/>
                <w:webHidden/>
              </w:rPr>
              <w:fldChar w:fldCharType="begin"/>
            </w:r>
            <w:r w:rsidR="004712CA">
              <w:rPr>
                <w:noProof/>
                <w:webHidden/>
              </w:rPr>
              <w:instrText xml:space="preserve"> PAGEREF _Toc434355930 \h </w:instrText>
            </w:r>
            <w:r w:rsidR="004712CA">
              <w:rPr>
                <w:noProof/>
                <w:webHidden/>
              </w:rPr>
            </w:r>
            <w:r w:rsidR="004712CA">
              <w:rPr>
                <w:noProof/>
                <w:webHidden/>
              </w:rPr>
              <w:fldChar w:fldCharType="separate"/>
            </w:r>
            <w:r w:rsidR="004712CA">
              <w:rPr>
                <w:noProof/>
                <w:webHidden/>
              </w:rPr>
              <w:t>7</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1" w:history="1">
            <w:r w:rsidR="004712CA" w:rsidRPr="003751B8">
              <w:rPr>
                <w:rStyle w:val="Lienhypertexte"/>
                <w:noProof/>
              </w:rPr>
              <w:t>3.6. Relation avec ERDF</w:t>
            </w:r>
            <w:r w:rsidR="004712CA">
              <w:rPr>
                <w:noProof/>
                <w:webHidden/>
              </w:rPr>
              <w:tab/>
            </w:r>
            <w:r w:rsidR="004712CA">
              <w:rPr>
                <w:noProof/>
                <w:webHidden/>
              </w:rPr>
              <w:fldChar w:fldCharType="begin"/>
            </w:r>
            <w:r w:rsidR="004712CA">
              <w:rPr>
                <w:noProof/>
                <w:webHidden/>
              </w:rPr>
              <w:instrText xml:space="preserve"> PAGEREF _Toc434355931 \h </w:instrText>
            </w:r>
            <w:r w:rsidR="004712CA">
              <w:rPr>
                <w:noProof/>
                <w:webHidden/>
              </w:rPr>
            </w:r>
            <w:r w:rsidR="004712CA">
              <w:rPr>
                <w:noProof/>
                <w:webHidden/>
              </w:rPr>
              <w:fldChar w:fldCharType="separate"/>
            </w:r>
            <w:r w:rsidR="004712CA">
              <w:rPr>
                <w:noProof/>
                <w:webHidden/>
              </w:rPr>
              <w:t>7</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32" w:history="1">
            <w:r w:rsidR="004712CA" w:rsidRPr="003751B8">
              <w:rPr>
                <w:rStyle w:val="Lienhypertexte"/>
                <w:noProof/>
              </w:rPr>
              <w:t>ARTICLE 4 : PRIX</w:t>
            </w:r>
            <w:r w:rsidR="004712CA">
              <w:rPr>
                <w:noProof/>
                <w:webHidden/>
              </w:rPr>
              <w:tab/>
            </w:r>
            <w:r w:rsidR="004712CA">
              <w:rPr>
                <w:noProof/>
                <w:webHidden/>
              </w:rPr>
              <w:fldChar w:fldCharType="begin"/>
            </w:r>
            <w:r w:rsidR="004712CA">
              <w:rPr>
                <w:noProof/>
                <w:webHidden/>
              </w:rPr>
              <w:instrText xml:space="preserve"> PAGEREF _Toc434355932 \h </w:instrText>
            </w:r>
            <w:r w:rsidR="004712CA">
              <w:rPr>
                <w:noProof/>
                <w:webHidden/>
              </w:rPr>
            </w:r>
            <w:r w:rsidR="004712CA">
              <w:rPr>
                <w:noProof/>
                <w:webHidden/>
              </w:rPr>
              <w:fldChar w:fldCharType="separate"/>
            </w:r>
            <w:r w:rsidR="004712CA">
              <w:rPr>
                <w:noProof/>
                <w:webHidden/>
              </w:rPr>
              <w:t>7</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3" w:history="1">
            <w:r w:rsidR="004712CA" w:rsidRPr="003751B8">
              <w:rPr>
                <w:rStyle w:val="Lienhypertexte"/>
                <w:noProof/>
              </w:rPr>
              <w:t>4.1. Structure du prix</w:t>
            </w:r>
            <w:r w:rsidR="004712CA">
              <w:rPr>
                <w:noProof/>
                <w:webHidden/>
              </w:rPr>
              <w:tab/>
            </w:r>
            <w:r w:rsidR="004712CA">
              <w:rPr>
                <w:noProof/>
                <w:webHidden/>
              </w:rPr>
              <w:fldChar w:fldCharType="begin"/>
            </w:r>
            <w:r w:rsidR="004712CA">
              <w:rPr>
                <w:noProof/>
                <w:webHidden/>
              </w:rPr>
              <w:instrText xml:space="preserve"> PAGEREF _Toc434355933 \h </w:instrText>
            </w:r>
            <w:r w:rsidR="004712CA">
              <w:rPr>
                <w:noProof/>
                <w:webHidden/>
              </w:rPr>
            </w:r>
            <w:r w:rsidR="004712CA">
              <w:rPr>
                <w:noProof/>
                <w:webHidden/>
              </w:rPr>
              <w:fldChar w:fldCharType="separate"/>
            </w:r>
            <w:r w:rsidR="004712CA">
              <w:rPr>
                <w:noProof/>
                <w:webHidden/>
              </w:rPr>
              <w:t>8</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4" w:history="1">
            <w:r w:rsidR="004712CA" w:rsidRPr="003751B8">
              <w:rPr>
                <w:rStyle w:val="Lienhypertexte"/>
                <w:noProof/>
              </w:rPr>
              <w:t>4.2. Révision des prix en cours de marché</w:t>
            </w:r>
            <w:r w:rsidR="004712CA">
              <w:rPr>
                <w:noProof/>
                <w:webHidden/>
              </w:rPr>
              <w:tab/>
            </w:r>
            <w:r w:rsidR="004712CA">
              <w:rPr>
                <w:noProof/>
                <w:webHidden/>
              </w:rPr>
              <w:fldChar w:fldCharType="begin"/>
            </w:r>
            <w:r w:rsidR="004712CA">
              <w:rPr>
                <w:noProof/>
                <w:webHidden/>
              </w:rPr>
              <w:instrText xml:space="preserve"> PAGEREF _Toc434355934 \h </w:instrText>
            </w:r>
            <w:r w:rsidR="004712CA">
              <w:rPr>
                <w:noProof/>
                <w:webHidden/>
              </w:rPr>
            </w:r>
            <w:r w:rsidR="004712CA">
              <w:rPr>
                <w:noProof/>
                <w:webHidden/>
              </w:rPr>
              <w:fldChar w:fldCharType="separate"/>
            </w:r>
            <w:r w:rsidR="004712CA">
              <w:rPr>
                <w:noProof/>
                <w:webHidden/>
              </w:rPr>
              <w:t>9</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35" w:history="1">
            <w:r w:rsidR="004712CA" w:rsidRPr="003751B8">
              <w:rPr>
                <w:rStyle w:val="Lienhypertexte"/>
                <w:noProof/>
              </w:rPr>
              <w:t>ARTICLE 5 : MODALITES DE REGLEMENT</w:t>
            </w:r>
            <w:r w:rsidR="004712CA">
              <w:rPr>
                <w:noProof/>
                <w:webHidden/>
              </w:rPr>
              <w:tab/>
            </w:r>
            <w:r w:rsidR="004712CA">
              <w:rPr>
                <w:noProof/>
                <w:webHidden/>
              </w:rPr>
              <w:fldChar w:fldCharType="begin"/>
            </w:r>
            <w:r w:rsidR="004712CA">
              <w:rPr>
                <w:noProof/>
                <w:webHidden/>
              </w:rPr>
              <w:instrText xml:space="preserve"> PAGEREF _Toc434355935 \h </w:instrText>
            </w:r>
            <w:r w:rsidR="004712CA">
              <w:rPr>
                <w:noProof/>
                <w:webHidden/>
              </w:rPr>
            </w:r>
            <w:r w:rsidR="004712CA">
              <w:rPr>
                <w:noProof/>
                <w:webHidden/>
              </w:rPr>
              <w:fldChar w:fldCharType="separate"/>
            </w:r>
            <w:r w:rsidR="004712CA">
              <w:rPr>
                <w:noProof/>
                <w:webHidden/>
              </w:rPr>
              <w:t>9</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6" w:history="1">
            <w:r w:rsidR="004712CA" w:rsidRPr="003751B8">
              <w:rPr>
                <w:rStyle w:val="Lienhypertexte"/>
                <w:noProof/>
              </w:rPr>
              <w:t>5.1. Délai global de paiement - Intérêts moratoires</w:t>
            </w:r>
            <w:r w:rsidR="004712CA">
              <w:rPr>
                <w:noProof/>
                <w:webHidden/>
              </w:rPr>
              <w:tab/>
            </w:r>
            <w:r w:rsidR="004712CA">
              <w:rPr>
                <w:noProof/>
                <w:webHidden/>
              </w:rPr>
              <w:fldChar w:fldCharType="begin"/>
            </w:r>
            <w:r w:rsidR="004712CA">
              <w:rPr>
                <w:noProof/>
                <w:webHidden/>
              </w:rPr>
              <w:instrText xml:space="preserve"> PAGEREF _Toc434355936 \h </w:instrText>
            </w:r>
            <w:r w:rsidR="004712CA">
              <w:rPr>
                <w:noProof/>
                <w:webHidden/>
              </w:rPr>
            </w:r>
            <w:r w:rsidR="004712CA">
              <w:rPr>
                <w:noProof/>
                <w:webHidden/>
              </w:rPr>
              <w:fldChar w:fldCharType="separate"/>
            </w:r>
            <w:r w:rsidR="004712CA">
              <w:rPr>
                <w:noProof/>
                <w:webHidden/>
              </w:rPr>
              <w:t>9</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7" w:history="1">
            <w:r w:rsidR="004712CA" w:rsidRPr="003751B8">
              <w:rPr>
                <w:rStyle w:val="Lienhypertexte"/>
                <w:noProof/>
              </w:rPr>
              <w:t>5.3. Financement</w:t>
            </w:r>
            <w:r w:rsidR="004712CA">
              <w:rPr>
                <w:noProof/>
                <w:webHidden/>
              </w:rPr>
              <w:tab/>
            </w:r>
            <w:r w:rsidR="004712CA">
              <w:rPr>
                <w:noProof/>
                <w:webHidden/>
              </w:rPr>
              <w:fldChar w:fldCharType="begin"/>
            </w:r>
            <w:r w:rsidR="004712CA">
              <w:rPr>
                <w:noProof/>
                <w:webHidden/>
              </w:rPr>
              <w:instrText xml:space="preserve"> PAGEREF _Toc434355937 \h </w:instrText>
            </w:r>
            <w:r w:rsidR="004712CA">
              <w:rPr>
                <w:noProof/>
                <w:webHidden/>
              </w:rPr>
            </w:r>
            <w:r w:rsidR="004712CA">
              <w:rPr>
                <w:noProof/>
                <w:webHidden/>
              </w:rPr>
              <w:fldChar w:fldCharType="separate"/>
            </w:r>
            <w:r w:rsidR="004712CA">
              <w:rPr>
                <w:noProof/>
                <w:webHidden/>
              </w:rPr>
              <w:t>10</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38" w:history="1">
            <w:r w:rsidR="004712CA" w:rsidRPr="003751B8">
              <w:rPr>
                <w:rStyle w:val="Lienhypertexte"/>
                <w:noProof/>
              </w:rPr>
              <w:t>5.4. Facturation</w:t>
            </w:r>
            <w:r w:rsidR="004712CA">
              <w:rPr>
                <w:noProof/>
                <w:webHidden/>
              </w:rPr>
              <w:tab/>
            </w:r>
            <w:r w:rsidR="004712CA">
              <w:rPr>
                <w:noProof/>
                <w:webHidden/>
              </w:rPr>
              <w:fldChar w:fldCharType="begin"/>
            </w:r>
            <w:r w:rsidR="004712CA">
              <w:rPr>
                <w:noProof/>
                <w:webHidden/>
              </w:rPr>
              <w:instrText xml:space="preserve"> PAGEREF _Toc434355938 \h </w:instrText>
            </w:r>
            <w:r w:rsidR="004712CA">
              <w:rPr>
                <w:noProof/>
                <w:webHidden/>
              </w:rPr>
            </w:r>
            <w:r w:rsidR="004712CA">
              <w:rPr>
                <w:noProof/>
                <w:webHidden/>
              </w:rPr>
              <w:fldChar w:fldCharType="separate"/>
            </w:r>
            <w:r w:rsidR="004712CA">
              <w:rPr>
                <w:noProof/>
                <w:webHidden/>
              </w:rPr>
              <w:t>10</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39" w:history="1">
            <w:r w:rsidR="004712CA" w:rsidRPr="003751B8">
              <w:rPr>
                <w:rStyle w:val="Lienhypertexte"/>
                <w:noProof/>
              </w:rPr>
              <w:t>ARTICLE 6 : PENALITES DE RETARD</w:t>
            </w:r>
            <w:r w:rsidR="004712CA">
              <w:rPr>
                <w:noProof/>
                <w:webHidden/>
              </w:rPr>
              <w:tab/>
            </w:r>
            <w:r w:rsidR="004712CA">
              <w:rPr>
                <w:noProof/>
                <w:webHidden/>
              </w:rPr>
              <w:fldChar w:fldCharType="begin"/>
            </w:r>
            <w:r w:rsidR="004712CA">
              <w:rPr>
                <w:noProof/>
                <w:webHidden/>
              </w:rPr>
              <w:instrText xml:space="preserve"> PAGEREF _Toc434355939 \h </w:instrText>
            </w:r>
            <w:r w:rsidR="004712CA">
              <w:rPr>
                <w:noProof/>
                <w:webHidden/>
              </w:rPr>
            </w:r>
            <w:r w:rsidR="004712CA">
              <w:rPr>
                <w:noProof/>
                <w:webHidden/>
              </w:rPr>
              <w:fldChar w:fldCharType="separate"/>
            </w:r>
            <w:r w:rsidR="004712CA">
              <w:rPr>
                <w:noProof/>
                <w:webHidden/>
              </w:rPr>
              <w:t>10</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40" w:history="1">
            <w:r w:rsidR="004712CA" w:rsidRPr="003751B8">
              <w:rPr>
                <w:rStyle w:val="Lienhypertexte"/>
                <w:noProof/>
              </w:rPr>
              <w:t>6.1. Pénalités pour retard de rattachement d’un Point de Livraison (PdL)</w:t>
            </w:r>
            <w:r w:rsidR="004712CA">
              <w:rPr>
                <w:noProof/>
                <w:webHidden/>
              </w:rPr>
              <w:tab/>
            </w:r>
            <w:r w:rsidR="004712CA">
              <w:rPr>
                <w:noProof/>
                <w:webHidden/>
              </w:rPr>
              <w:fldChar w:fldCharType="begin"/>
            </w:r>
            <w:r w:rsidR="004712CA">
              <w:rPr>
                <w:noProof/>
                <w:webHidden/>
              </w:rPr>
              <w:instrText xml:space="preserve"> PAGEREF _Toc434355940 \h </w:instrText>
            </w:r>
            <w:r w:rsidR="004712CA">
              <w:rPr>
                <w:noProof/>
                <w:webHidden/>
              </w:rPr>
            </w:r>
            <w:r w:rsidR="004712CA">
              <w:rPr>
                <w:noProof/>
                <w:webHidden/>
              </w:rPr>
              <w:fldChar w:fldCharType="separate"/>
            </w:r>
            <w:r w:rsidR="004712CA">
              <w:rPr>
                <w:noProof/>
                <w:webHidden/>
              </w:rPr>
              <w:t>10</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41" w:history="1">
            <w:r w:rsidR="004712CA" w:rsidRPr="003751B8">
              <w:rPr>
                <w:rStyle w:val="Lienhypertexte"/>
                <w:noProof/>
              </w:rPr>
              <w:t>6.2. Pénalités pour discontinuité de fourniture</w:t>
            </w:r>
            <w:r w:rsidR="004712CA">
              <w:rPr>
                <w:noProof/>
                <w:webHidden/>
              </w:rPr>
              <w:tab/>
            </w:r>
            <w:r w:rsidR="004712CA">
              <w:rPr>
                <w:noProof/>
                <w:webHidden/>
              </w:rPr>
              <w:fldChar w:fldCharType="begin"/>
            </w:r>
            <w:r w:rsidR="004712CA">
              <w:rPr>
                <w:noProof/>
                <w:webHidden/>
              </w:rPr>
              <w:instrText xml:space="preserve"> PAGEREF _Toc434355941 \h </w:instrText>
            </w:r>
            <w:r w:rsidR="004712CA">
              <w:rPr>
                <w:noProof/>
                <w:webHidden/>
              </w:rPr>
            </w:r>
            <w:r w:rsidR="004712CA">
              <w:rPr>
                <w:noProof/>
                <w:webHidden/>
              </w:rPr>
              <w:fldChar w:fldCharType="separate"/>
            </w:r>
            <w:r w:rsidR="004712CA">
              <w:rPr>
                <w:noProof/>
                <w:webHidden/>
              </w:rPr>
              <w:t>10</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42" w:history="1">
            <w:r w:rsidR="004712CA" w:rsidRPr="003751B8">
              <w:rPr>
                <w:rStyle w:val="Lienhypertexte"/>
                <w:noProof/>
              </w:rPr>
              <w:t>6.3. Pénalités pour erreur de facturation</w:t>
            </w:r>
            <w:r w:rsidR="004712CA">
              <w:rPr>
                <w:noProof/>
                <w:webHidden/>
              </w:rPr>
              <w:tab/>
            </w:r>
            <w:r w:rsidR="004712CA">
              <w:rPr>
                <w:noProof/>
                <w:webHidden/>
              </w:rPr>
              <w:fldChar w:fldCharType="begin"/>
            </w:r>
            <w:r w:rsidR="004712CA">
              <w:rPr>
                <w:noProof/>
                <w:webHidden/>
              </w:rPr>
              <w:instrText xml:space="preserve"> PAGEREF _Toc434355942 \h </w:instrText>
            </w:r>
            <w:r w:rsidR="004712CA">
              <w:rPr>
                <w:noProof/>
                <w:webHidden/>
              </w:rPr>
            </w:r>
            <w:r w:rsidR="004712CA">
              <w:rPr>
                <w:noProof/>
                <w:webHidden/>
              </w:rPr>
              <w:fldChar w:fldCharType="separate"/>
            </w:r>
            <w:r w:rsidR="004712CA">
              <w:rPr>
                <w:noProof/>
                <w:webHidden/>
              </w:rPr>
              <w:t>10</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43" w:history="1">
            <w:r w:rsidR="004712CA" w:rsidRPr="003751B8">
              <w:rPr>
                <w:rStyle w:val="Lienhypertexte"/>
                <w:noProof/>
              </w:rPr>
              <w:t>ARTICLE 7 : AUTORISATION DE FOURNITURE D’ELECTRICITE</w:t>
            </w:r>
            <w:r w:rsidR="004712CA">
              <w:rPr>
                <w:noProof/>
                <w:webHidden/>
              </w:rPr>
              <w:tab/>
            </w:r>
            <w:r w:rsidR="004712CA">
              <w:rPr>
                <w:noProof/>
                <w:webHidden/>
              </w:rPr>
              <w:fldChar w:fldCharType="begin"/>
            </w:r>
            <w:r w:rsidR="004712CA">
              <w:rPr>
                <w:noProof/>
                <w:webHidden/>
              </w:rPr>
              <w:instrText xml:space="preserve"> PAGEREF _Toc434355943 \h </w:instrText>
            </w:r>
            <w:r w:rsidR="004712CA">
              <w:rPr>
                <w:noProof/>
                <w:webHidden/>
              </w:rPr>
            </w:r>
            <w:r w:rsidR="004712CA">
              <w:rPr>
                <w:noProof/>
                <w:webHidden/>
              </w:rPr>
              <w:fldChar w:fldCharType="separate"/>
            </w:r>
            <w:r w:rsidR="004712CA">
              <w:rPr>
                <w:noProof/>
                <w:webHidden/>
              </w:rPr>
              <w:t>11</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44" w:history="1">
            <w:r w:rsidR="004712CA" w:rsidRPr="003751B8">
              <w:rPr>
                <w:rStyle w:val="Lienhypertexte"/>
                <w:noProof/>
              </w:rPr>
              <w:t>ARTICLE 8 : ATTESTATIONS ET ASSURANCES</w:t>
            </w:r>
            <w:r w:rsidR="004712CA">
              <w:rPr>
                <w:noProof/>
                <w:webHidden/>
              </w:rPr>
              <w:tab/>
            </w:r>
            <w:r w:rsidR="004712CA">
              <w:rPr>
                <w:noProof/>
                <w:webHidden/>
              </w:rPr>
              <w:fldChar w:fldCharType="begin"/>
            </w:r>
            <w:r w:rsidR="004712CA">
              <w:rPr>
                <w:noProof/>
                <w:webHidden/>
              </w:rPr>
              <w:instrText xml:space="preserve"> PAGEREF _Toc434355944 \h </w:instrText>
            </w:r>
            <w:r w:rsidR="004712CA">
              <w:rPr>
                <w:noProof/>
                <w:webHidden/>
              </w:rPr>
            </w:r>
            <w:r w:rsidR="004712CA">
              <w:rPr>
                <w:noProof/>
                <w:webHidden/>
              </w:rPr>
              <w:fldChar w:fldCharType="separate"/>
            </w:r>
            <w:r w:rsidR="004712CA">
              <w:rPr>
                <w:noProof/>
                <w:webHidden/>
              </w:rPr>
              <w:t>11</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45" w:history="1">
            <w:r w:rsidR="004712CA" w:rsidRPr="003751B8">
              <w:rPr>
                <w:rStyle w:val="Lienhypertexte"/>
                <w:noProof/>
              </w:rPr>
              <w:t>ARTICLE 9 : CONFIDENTIALITE</w:t>
            </w:r>
            <w:r w:rsidR="004712CA">
              <w:rPr>
                <w:noProof/>
                <w:webHidden/>
              </w:rPr>
              <w:tab/>
            </w:r>
            <w:r w:rsidR="004712CA">
              <w:rPr>
                <w:noProof/>
                <w:webHidden/>
              </w:rPr>
              <w:fldChar w:fldCharType="begin"/>
            </w:r>
            <w:r w:rsidR="004712CA">
              <w:rPr>
                <w:noProof/>
                <w:webHidden/>
              </w:rPr>
              <w:instrText xml:space="preserve"> PAGEREF _Toc434355945 \h </w:instrText>
            </w:r>
            <w:r w:rsidR="004712CA">
              <w:rPr>
                <w:noProof/>
                <w:webHidden/>
              </w:rPr>
            </w:r>
            <w:r w:rsidR="004712CA">
              <w:rPr>
                <w:noProof/>
                <w:webHidden/>
              </w:rPr>
              <w:fldChar w:fldCharType="separate"/>
            </w:r>
            <w:r w:rsidR="004712CA">
              <w:rPr>
                <w:noProof/>
                <w:webHidden/>
              </w:rPr>
              <w:t>11</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46" w:history="1">
            <w:r w:rsidR="004712CA" w:rsidRPr="003751B8">
              <w:rPr>
                <w:rStyle w:val="Lienhypertexte"/>
                <w:noProof/>
              </w:rPr>
              <w:t>ARTICLE 10 : RESILIATION</w:t>
            </w:r>
            <w:r w:rsidR="004712CA">
              <w:rPr>
                <w:noProof/>
                <w:webHidden/>
              </w:rPr>
              <w:tab/>
            </w:r>
            <w:r w:rsidR="004712CA">
              <w:rPr>
                <w:noProof/>
                <w:webHidden/>
              </w:rPr>
              <w:fldChar w:fldCharType="begin"/>
            </w:r>
            <w:r w:rsidR="004712CA">
              <w:rPr>
                <w:noProof/>
                <w:webHidden/>
              </w:rPr>
              <w:instrText xml:space="preserve"> PAGEREF _Toc434355946 \h </w:instrText>
            </w:r>
            <w:r w:rsidR="004712CA">
              <w:rPr>
                <w:noProof/>
                <w:webHidden/>
              </w:rPr>
            </w:r>
            <w:r w:rsidR="004712CA">
              <w:rPr>
                <w:noProof/>
                <w:webHidden/>
              </w:rPr>
              <w:fldChar w:fldCharType="separate"/>
            </w:r>
            <w:r w:rsidR="004712CA">
              <w:rPr>
                <w:noProof/>
                <w:webHidden/>
              </w:rPr>
              <w:t>12</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47" w:history="1">
            <w:r w:rsidR="004712CA" w:rsidRPr="003751B8">
              <w:rPr>
                <w:rStyle w:val="Lienhypertexte"/>
                <w:noProof/>
              </w:rPr>
              <w:t>10.1. Pour inexactitude des renseignements</w:t>
            </w:r>
            <w:r w:rsidR="004712CA">
              <w:rPr>
                <w:noProof/>
                <w:webHidden/>
              </w:rPr>
              <w:tab/>
            </w:r>
            <w:r w:rsidR="004712CA">
              <w:rPr>
                <w:noProof/>
                <w:webHidden/>
              </w:rPr>
              <w:fldChar w:fldCharType="begin"/>
            </w:r>
            <w:r w:rsidR="004712CA">
              <w:rPr>
                <w:noProof/>
                <w:webHidden/>
              </w:rPr>
              <w:instrText xml:space="preserve"> PAGEREF _Toc434355947 \h </w:instrText>
            </w:r>
            <w:r w:rsidR="004712CA">
              <w:rPr>
                <w:noProof/>
                <w:webHidden/>
              </w:rPr>
            </w:r>
            <w:r w:rsidR="004712CA">
              <w:rPr>
                <w:noProof/>
                <w:webHidden/>
              </w:rPr>
              <w:fldChar w:fldCharType="separate"/>
            </w:r>
            <w:r w:rsidR="004712CA">
              <w:rPr>
                <w:noProof/>
                <w:webHidden/>
              </w:rPr>
              <w:t>12</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48" w:history="1">
            <w:r w:rsidR="004712CA" w:rsidRPr="003751B8">
              <w:rPr>
                <w:rStyle w:val="Lienhypertexte"/>
                <w:noProof/>
              </w:rPr>
              <w:t>10.2. Pour refus d’engagement à un marché</w:t>
            </w:r>
            <w:r w:rsidR="004712CA">
              <w:rPr>
                <w:noProof/>
                <w:webHidden/>
              </w:rPr>
              <w:tab/>
            </w:r>
            <w:r w:rsidR="004712CA">
              <w:rPr>
                <w:noProof/>
                <w:webHidden/>
              </w:rPr>
              <w:fldChar w:fldCharType="begin"/>
            </w:r>
            <w:r w:rsidR="004712CA">
              <w:rPr>
                <w:noProof/>
                <w:webHidden/>
              </w:rPr>
              <w:instrText xml:space="preserve"> PAGEREF _Toc434355948 \h </w:instrText>
            </w:r>
            <w:r w:rsidR="004712CA">
              <w:rPr>
                <w:noProof/>
                <w:webHidden/>
              </w:rPr>
            </w:r>
            <w:r w:rsidR="004712CA">
              <w:rPr>
                <w:noProof/>
                <w:webHidden/>
              </w:rPr>
              <w:fldChar w:fldCharType="separate"/>
            </w:r>
            <w:r w:rsidR="004712CA">
              <w:rPr>
                <w:noProof/>
                <w:webHidden/>
              </w:rPr>
              <w:t>12</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49" w:history="1">
            <w:r w:rsidR="004712CA" w:rsidRPr="003751B8">
              <w:rPr>
                <w:rStyle w:val="Lienhypertexte"/>
                <w:noProof/>
              </w:rPr>
              <w:t>10.3. Pour mauvaise exécution de marché</w:t>
            </w:r>
            <w:r w:rsidR="004712CA">
              <w:rPr>
                <w:noProof/>
                <w:webHidden/>
              </w:rPr>
              <w:tab/>
            </w:r>
            <w:r w:rsidR="004712CA">
              <w:rPr>
                <w:noProof/>
                <w:webHidden/>
              </w:rPr>
              <w:fldChar w:fldCharType="begin"/>
            </w:r>
            <w:r w:rsidR="004712CA">
              <w:rPr>
                <w:noProof/>
                <w:webHidden/>
              </w:rPr>
              <w:instrText xml:space="preserve"> PAGEREF _Toc434355949 \h </w:instrText>
            </w:r>
            <w:r w:rsidR="004712CA">
              <w:rPr>
                <w:noProof/>
                <w:webHidden/>
              </w:rPr>
            </w:r>
            <w:r w:rsidR="004712CA">
              <w:rPr>
                <w:noProof/>
                <w:webHidden/>
              </w:rPr>
              <w:fldChar w:fldCharType="separate"/>
            </w:r>
            <w:r w:rsidR="004712CA">
              <w:rPr>
                <w:noProof/>
                <w:webHidden/>
              </w:rPr>
              <w:t>13</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50" w:history="1">
            <w:r w:rsidR="004712CA" w:rsidRPr="003751B8">
              <w:rPr>
                <w:rStyle w:val="Lienhypertexte"/>
                <w:noProof/>
              </w:rPr>
              <w:t>ARTICLE 11 : CLAUSES DE SURETE ET DE FINANCEMENT</w:t>
            </w:r>
            <w:r w:rsidR="004712CA">
              <w:rPr>
                <w:noProof/>
                <w:webHidden/>
              </w:rPr>
              <w:tab/>
            </w:r>
            <w:r w:rsidR="004712CA">
              <w:rPr>
                <w:noProof/>
                <w:webHidden/>
              </w:rPr>
              <w:fldChar w:fldCharType="begin"/>
            </w:r>
            <w:r w:rsidR="004712CA">
              <w:rPr>
                <w:noProof/>
                <w:webHidden/>
              </w:rPr>
              <w:instrText xml:space="preserve"> PAGEREF _Toc434355950 \h </w:instrText>
            </w:r>
            <w:r w:rsidR="004712CA">
              <w:rPr>
                <w:noProof/>
                <w:webHidden/>
              </w:rPr>
            </w:r>
            <w:r w:rsidR="004712CA">
              <w:rPr>
                <w:noProof/>
                <w:webHidden/>
              </w:rPr>
              <w:fldChar w:fldCharType="separate"/>
            </w:r>
            <w:r w:rsidR="004712CA">
              <w:rPr>
                <w:noProof/>
                <w:webHidden/>
              </w:rPr>
              <w:t>13</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51" w:history="1">
            <w:r w:rsidR="004712CA" w:rsidRPr="003751B8">
              <w:rPr>
                <w:rStyle w:val="Lienhypertexte"/>
                <w:noProof/>
              </w:rPr>
              <w:t>11.1. Garanties</w:t>
            </w:r>
            <w:r w:rsidR="004712CA">
              <w:rPr>
                <w:noProof/>
                <w:webHidden/>
              </w:rPr>
              <w:tab/>
            </w:r>
            <w:r w:rsidR="004712CA">
              <w:rPr>
                <w:noProof/>
                <w:webHidden/>
              </w:rPr>
              <w:fldChar w:fldCharType="begin"/>
            </w:r>
            <w:r w:rsidR="004712CA">
              <w:rPr>
                <w:noProof/>
                <w:webHidden/>
              </w:rPr>
              <w:instrText xml:space="preserve"> PAGEREF _Toc434355951 \h </w:instrText>
            </w:r>
            <w:r w:rsidR="004712CA">
              <w:rPr>
                <w:noProof/>
                <w:webHidden/>
              </w:rPr>
            </w:r>
            <w:r w:rsidR="004712CA">
              <w:rPr>
                <w:noProof/>
                <w:webHidden/>
              </w:rPr>
              <w:fldChar w:fldCharType="separate"/>
            </w:r>
            <w:r w:rsidR="004712CA">
              <w:rPr>
                <w:noProof/>
                <w:webHidden/>
              </w:rPr>
              <w:t>13</w:t>
            </w:r>
            <w:r w:rsidR="004712CA">
              <w:rPr>
                <w:noProof/>
                <w:webHidden/>
              </w:rPr>
              <w:fldChar w:fldCharType="end"/>
            </w:r>
          </w:hyperlink>
        </w:p>
        <w:p w:rsidR="004712CA" w:rsidRDefault="004C488C">
          <w:pPr>
            <w:pStyle w:val="TM2"/>
            <w:tabs>
              <w:tab w:val="right" w:leader="dot" w:pos="9396"/>
            </w:tabs>
            <w:rPr>
              <w:rFonts w:asciiTheme="minorHAnsi" w:eastAsiaTheme="minorEastAsia" w:hAnsiTheme="minorHAnsi" w:cstheme="minorBidi"/>
              <w:noProof/>
            </w:rPr>
          </w:pPr>
          <w:hyperlink w:anchor="_Toc434355952" w:history="1">
            <w:r w:rsidR="004712CA" w:rsidRPr="003751B8">
              <w:rPr>
                <w:rStyle w:val="Lienhypertexte"/>
                <w:noProof/>
              </w:rPr>
              <w:t>11.2. Avances</w:t>
            </w:r>
            <w:r w:rsidR="004712CA">
              <w:rPr>
                <w:noProof/>
                <w:webHidden/>
              </w:rPr>
              <w:tab/>
            </w:r>
            <w:r w:rsidR="004712CA">
              <w:rPr>
                <w:noProof/>
                <w:webHidden/>
              </w:rPr>
              <w:fldChar w:fldCharType="begin"/>
            </w:r>
            <w:r w:rsidR="004712CA">
              <w:rPr>
                <w:noProof/>
                <w:webHidden/>
              </w:rPr>
              <w:instrText xml:space="preserve"> PAGEREF _Toc434355952 \h </w:instrText>
            </w:r>
            <w:r w:rsidR="004712CA">
              <w:rPr>
                <w:noProof/>
                <w:webHidden/>
              </w:rPr>
            </w:r>
            <w:r w:rsidR="004712CA">
              <w:rPr>
                <w:noProof/>
                <w:webHidden/>
              </w:rPr>
              <w:fldChar w:fldCharType="separate"/>
            </w:r>
            <w:r w:rsidR="004712CA">
              <w:rPr>
                <w:noProof/>
                <w:webHidden/>
              </w:rPr>
              <w:t>13</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53" w:history="1">
            <w:r w:rsidR="004712CA" w:rsidRPr="003751B8">
              <w:rPr>
                <w:rStyle w:val="Lienhypertexte"/>
                <w:noProof/>
              </w:rPr>
              <w:t>ARTICLE 12 : SOUS TRAITANCE</w:t>
            </w:r>
            <w:r w:rsidR="004712CA">
              <w:rPr>
                <w:noProof/>
                <w:webHidden/>
              </w:rPr>
              <w:tab/>
            </w:r>
            <w:r w:rsidR="004712CA">
              <w:rPr>
                <w:noProof/>
                <w:webHidden/>
              </w:rPr>
              <w:fldChar w:fldCharType="begin"/>
            </w:r>
            <w:r w:rsidR="004712CA">
              <w:rPr>
                <w:noProof/>
                <w:webHidden/>
              </w:rPr>
              <w:instrText xml:space="preserve"> PAGEREF _Toc434355953 \h </w:instrText>
            </w:r>
            <w:r w:rsidR="004712CA">
              <w:rPr>
                <w:noProof/>
                <w:webHidden/>
              </w:rPr>
            </w:r>
            <w:r w:rsidR="004712CA">
              <w:rPr>
                <w:noProof/>
                <w:webHidden/>
              </w:rPr>
              <w:fldChar w:fldCharType="separate"/>
            </w:r>
            <w:r w:rsidR="004712CA">
              <w:rPr>
                <w:noProof/>
                <w:webHidden/>
              </w:rPr>
              <w:t>13</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54" w:history="1">
            <w:r w:rsidR="004712CA" w:rsidRPr="003751B8">
              <w:rPr>
                <w:rStyle w:val="Lienhypertexte"/>
                <w:noProof/>
              </w:rPr>
              <w:t>ARTICLE 13 : DROIT, LANGUE ET MONNAIE</w:t>
            </w:r>
            <w:r w:rsidR="004712CA">
              <w:rPr>
                <w:noProof/>
                <w:webHidden/>
              </w:rPr>
              <w:tab/>
            </w:r>
            <w:r w:rsidR="004712CA">
              <w:rPr>
                <w:noProof/>
                <w:webHidden/>
              </w:rPr>
              <w:fldChar w:fldCharType="begin"/>
            </w:r>
            <w:r w:rsidR="004712CA">
              <w:rPr>
                <w:noProof/>
                <w:webHidden/>
              </w:rPr>
              <w:instrText xml:space="preserve"> PAGEREF _Toc434355954 \h </w:instrText>
            </w:r>
            <w:r w:rsidR="004712CA">
              <w:rPr>
                <w:noProof/>
                <w:webHidden/>
              </w:rPr>
            </w:r>
            <w:r w:rsidR="004712CA">
              <w:rPr>
                <w:noProof/>
                <w:webHidden/>
              </w:rPr>
              <w:fldChar w:fldCharType="separate"/>
            </w:r>
            <w:r w:rsidR="004712CA">
              <w:rPr>
                <w:noProof/>
                <w:webHidden/>
              </w:rPr>
              <w:t>13</w:t>
            </w:r>
            <w:r w:rsidR="004712CA">
              <w:rPr>
                <w:noProof/>
                <w:webHidden/>
              </w:rPr>
              <w:fldChar w:fldCharType="end"/>
            </w:r>
          </w:hyperlink>
        </w:p>
        <w:p w:rsidR="004712CA" w:rsidRDefault="004C488C">
          <w:pPr>
            <w:pStyle w:val="TM1"/>
            <w:tabs>
              <w:tab w:val="right" w:leader="dot" w:pos="9396"/>
            </w:tabs>
            <w:rPr>
              <w:rFonts w:asciiTheme="minorHAnsi" w:eastAsiaTheme="minorEastAsia" w:hAnsiTheme="minorHAnsi" w:cstheme="minorBidi"/>
              <w:noProof/>
            </w:rPr>
          </w:pPr>
          <w:hyperlink w:anchor="_Toc434355955" w:history="1">
            <w:r w:rsidR="004712CA" w:rsidRPr="003751B8">
              <w:rPr>
                <w:rStyle w:val="Lienhypertexte"/>
                <w:noProof/>
              </w:rPr>
              <w:t>ARTICLE 14 : DEROGATIONS AU CCAG-FCS</w:t>
            </w:r>
            <w:r w:rsidR="004712CA">
              <w:rPr>
                <w:noProof/>
                <w:webHidden/>
              </w:rPr>
              <w:tab/>
            </w:r>
            <w:r w:rsidR="004712CA">
              <w:rPr>
                <w:noProof/>
                <w:webHidden/>
              </w:rPr>
              <w:fldChar w:fldCharType="begin"/>
            </w:r>
            <w:r w:rsidR="004712CA">
              <w:rPr>
                <w:noProof/>
                <w:webHidden/>
              </w:rPr>
              <w:instrText xml:space="preserve"> PAGEREF _Toc434355955 \h </w:instrText>
            </w:r>
            <w:r w:rsidR="004712CA">
              <w:rPr>
                <w:noProof/>
                <w:webHidden/>
              </w:rPr>
            </w:r>
            <w:r w:rsidR="004712CA">
              <w:rPr>
                <w:noProof/>
                <w:webHidden/>
              </w:rPr>
              <w:fldChar w:fldCharType="separate"/>
            </w:r>
            <w:r w:rsidR="004712CA">
              <w:rPr>
                <w:noProof/>
                <w:webHidden/>
              </w:rPr>
              <w:t>14</w:t>
            </w:r>
            <w:r w:rsidR="004712CA">
              <w:rPr>
                <w:noProof/>
                <w:webHidden/>
              </w:rPr>
              <w:fldChar w:fldCharType="end"/>
            </w:r>
          </w:hyperlink>
        </w:p>
        <w:p w:rsidR="004712CA" w:rsidRDefault="004C488C">
          <w:pPr>
            <w:pStyle w:val="TM3"/>
            <w:tabs>
              <w:tab w:val="right" w:leader="dot" w:pos="9396"/>
            </w:tabs>
            <w:rPr>
              <w:noProof/>
            </w:rPr>
          </w:pPr>
          <w:hyperlink w:anchor="_Toc434355956" w:history="1">
            <w:r w:rsidR="004712CA" w:rsidRPr="003751B8">
              <w:rPr>
                <w:rStyle w:val="Lienhypertexte"/>
                <w:i/>
                <w:noProof/>
              </w:rPr>
              <w:t>Fin  du CCAP</w:t>
            </w:r>
            <w:r w:rsidR="004712CA">
              <w:rPr>
                <w:noProof/>
                <w:webHidden/>
              </w:rPr>
              <w:tab/>
            </w:r>
            <w:r w:rsidR="004712CA">
              <w:rPr>
                <w:noProof/>
                <w:webHidden/>
              </w:rPr>
              <w:fldChar w:fldCharType="begin"/>
            </w:r>
            <w:r w:rsidR="004712CA">
              <w:rPr>
                <w:noProof/>
                <w:webHidden/>
              </w:rPr>
              <w:instrText xml:space="preserve"> PAGEREF _Toc434355956 \h </w:instrText>
            </w:r>
            <w:r w:rsidR="004712CA">
              <w:rPr>
                <w:noProof/>
                <w:webHidden/>
              </w:rPr>
            </w:r>
            <w:r w:rsidR="004712CA">
              <w:rPr>
                <w:noProof/>
                <w:webHidden/>
              </w:rPr>
              <w:fldChar w:fldCharType="separate"/>
            </w:r>
            <w:r w:rsidR="004712CA">
              <w:rPr>
                <w:noProof/>
                <w:webHidden/>
              </w:rPr>
              <w:t>14</w:t>
            </w:r>
            <w:r w:rsidR="004712CA">
              <w:rPr>
                <w:noProof/>
                <w:webHidden/>
              </w:rPr>
              <w:fldChar w:fldCharType="end"/>
            </w:r>
          </w:hyperlink>
        </w:p>
        <w:p w:rsidR="007B45DF" w:rsidRDefault="00272694" w:rsidP="007B45DF">
          <w:r>
            <w:fldChar w:fldCharType="end"/>
          </w:r>
        </w:p>
      </w:sdtContent>
    </w:sdt>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B45DF">
      <w:pPr>
        <w:pStyle w:val="Titre1"/>
        <w:rPr>
          <w:color w:val="auto"/>
        </w:rPr>
      </w:pPr>
    </w:p>
    <w:p w:rsidR="007E133F" w:rsidRDefault="007E133F" w:rsidP="007E133F"/>
    <w:p w:rsidR="007E133F" w:rsidRPr="007E133F" w:rsidRDefault="007E133F" w:rsidP="007E133F"/>
    <w:p w:rsidR="002769F6" w:rsidRPr="007B45DF" w:rsidRDefault="00FF2A53" w:rsidP="007B45DF">
      <w:pPr>
        <w:pStyle w:val="Titre1"/>
        <w:rPr>
          <w:color w:val="auto"/>
        </w:rPr>
      </w:pPr>
      <w:bookmarkStart w:id="1" w:name="_Toc434355917"/>
      <w:r w:rsidRPr="007B45DF">
        <w:rPr>
          <w:color w:val="auto"/>
        </w:rPr>
        <w:lastRenderedPageBreak/>
        <w:t>ARTICLE 1 : OBJET DU MARCHE</w:t>
      </w:r>
      <w:r w:rsidR="002769F6" w:rsidRPr="007B45DF">
        <w:rPr>
          <w:color w:val="auto"/>
        </w:rPr>
        <w:t>– DISPOSITIONS GENERALES</w:t>
      </w:r>
      <w:bookmarkEnd w:id="1"/>
      <w:r w:rsidR="002769F6" w:rsidRPr="007B45DF">
        <w:rPr>
          <w:color w:val="auto"/>
        </w:rPr>
        <w:t xml:space="preserve"> </w:t>
      </w:r>
    </w:p>
    <w:p w:rsidR="002769F6" w:rsidRPr="002769F6" w:rsidRDefault="002769F6" w:rsidP="00AE4BA3">
      <w:pPr>
        <w:pStyle w:val="Default"/>
        <w:jc w:val="both"/>
        <w:rPr>
          <w:rFonts w:ascii="Calibri" w:hAnsi="Calibri" w:cs="Times New Roman"/>
          <w:color w:val="auto"/>
          <w:sz w:val="12"/>
          <w:szCs w:val="12"/>
        </w:rPr>
      </w:pPr>
      <w:r w:rsidRPr="002769F6">
        <w:rPr>
          <w:rFonts w:ascii="Calibri" w:hAnsi="Calibri" w:cs="Times New Roman"/>
          <w:color w:val="auto"/>
          <w:sz w:val="12"/>
          <w:szCs w:val="12"/>
        </w:rPr>
        <w:t xml:space="preserve"> </w:t>
      </w:r>
    </w:p>
    <w:p w:rsidR="002769F6" w:rsidRPr="002769F6" w:rsidRDefault="002769F6" w:rsidP="00AE4BA3">
      <w:pPr>
        <w:pStyle w:val="Default"/>
        <w:jc w:val="both"/>
        <w:rPr>
          <w:rFonts w:ascii="Calibri" w:hAnsi="Calibri" w:cs="Times New Roman"/>
          <w:color w:val="auto"/>
          <w:sz w:val="12"/>
          <w:szCs w:val="12"/>
        </w:rPr>
      </w:pPr>
      <w:r w:rsidRPr="002769F6">
        <w:rPr>
          <w:rFonts w:ascii="Calibri" w:hAnsi="Calibri" w:cs="Times New Roman"/>
          <w:color w:val="auto"/>
          <w:sz w:val="12"/>
          <w:szCs w:val="12"/>
        </w:rPr>
        <w:t xml:space="preserve"> </w:t>
      </w:r>
    </w:p>
    <w:p w:rsidR="002769F6" w:rsidRPr="00CA3640" w:rsidRDefault="002769F6" w:rsidP="009C08D0">
      <w:pPr>
        <w:pStyle w:val="Titre2"/>
        <w:rPr>
          <w:color w:val="808080" w:themeColor="accent4"/>
        </w:rPr>
      </w:pPr>
      <w:r w:rsidRPr="002769F6">
        <w:rPr>
          <w:rFonts w:ascii="Calibri" w:hAnsi="Calibri" w:cs="Times New Roman"/>
          <w:color w:val="auto"/>
          <w:sz w:val="20"/>
          <w:szCs w:val="20"/>
        </w:rPr>
        <w:t xml:space="preserve"> </w:t>
      </w:r>
      <w:bookmarkStart w:id="2" w:name="_Toc434355918"/>
      <w:r w:rsidR="00CA3640" w:rsidRPr="00CA3640">
        <w:rPr>
          <w:color w:val="808080" w:themeColor="accent4"/>
        </w:rPr>
        <w:t xml:space="preserve">1.1. </w:t>
      </w:r>
      <w:r w:rsidRPr="00CA3640">
        <w:rPr>
          <w:color w:val="808080" w:themeColor="accent4"/>
        </w:rPr>
        <w:t>Objet</w:t>
      </w:r>
      <w:bookmarkEnd w:id="2"/>
      <w:r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présent cahier des clauses administratives particulières (CCAP) a pour objet de définir les termes et conditions de la fourniture et de l’acheminement d’énergie électrique active garantie nécessaire à l’alimentation en continu et sans aucune altération des besoins des </w:t>
      </w:r>
      <w:r w:rsidR="008C3DB6">
        <w:rPr>
          <w:rFonts w:ascii="Calibri" w:hAnsi="Calibri"/>
          <w:color w:val="auto"/>
          <w:sz w:val="22"/>
          <w:szCs w:val="22"/>
        </w:rPr>
        <w:t>Points de Livraison (PdL)</w:t>
      </w:r>
      <w:r w:rsidRPr="002769F6">
        <w:rPr>
          <w:rFonts w:ascii="Calibri" w:hAnsi="Calibri"/>
          <w:color w:val="auto"/>
          <w:sz w:val="22"/>
          <w:szCs w:val="22"/>
        </w:rPr>
        <w:t xml:space="preserve"> de </w:t>
      </w:r>
      <w:r w:rsidR="00DC697D">
        <w:rPr>
          <w:rFonts w:ascii="Calibri" w:hAnsi="Calibri"/>
          <w:color w:val="auto"/>
          <w:sz w:val="22"/>
          <w:szCs w:val="22"/>
        </w:rPr>
        <w:t xml:space="preserve">la commune de </w:t>
      </w:r>
      <w:r w:rsidR="00A90672">
        <w:rPr>
          <w:rFonts w:ascii="Calibri" w:hAnsi="Calibri"/>
          <w:sz w:val="22"/>
        </w:rPr>
        <w:t>Gouesnou</w:t>
      </w:r>
      <w:r w:rsidRPr="002769F6">
        <w:rPr>
          <w:rFonts w:ascii="Calibri" w:hAnsi="Calibri"/>
          <w:color w:val="auto"/>
          <w:sz w:val="22"/>
          <w:szCs w:val="22"/>
        </w:rPr>
        <w:t xml:space="preserve">, en application d’un </w:t>
      </w:r>
      <w:r w:rsidR="00FF2A53" w:rsidRPr="002769F6">
        <w:rPr>
          <w:rFonts w:ascii="Calibri" w:hAnsi="Calibri"/>
          <w:color w:val="auto"/>
          <w:sz w:val="22"/>
          <w:szCs w:val="22"/>
        </w:rPr>
        <w:t>marché passé</w:t>
      </w:r>
      <w:r w:rsidRPr="002769F6">
        <w:rPr>
          <w:rFonts w:ascii="Calibri" w:hAnsi="Calibri"/>
          <w:color w:val="auto"/>
          <w:sz w:val="22"/>
          <w:szCs w:val="22"/>
        </w:rPr>
        <w:t xml:space="preserve"> </w:t>
      </w:r>
      <w:r w:rsidR="00FF2A53" w:rsidRPr="002769F6">
        <w:rPr>
          <w:rFonts w:ascii="Calibri" w:hAnsi="Calibri"/>
          <w:color w:val="auto"/>
          <w:sz w:val="22"/>
          <w:szCs w:val="22"/>
        </w:rPr>
        <w:t>sur la base de ce contenu.</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Cette fourniture s'entend en "contrat unique" comprenant l'accès et l'utilisation du réseau public de distribution géré par ERDF et incluant la fonction de responsable d'équilibre.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7E0CBB" w:rsidP="00AE4BA3">
      <w:pPr>
        <w:pStyle w:val="Default"/>
        <w:jc w:val="both"/>
        <w:rPr>
          <w:rFonts w:ascii="Calibri" w:hAnsi="Calibri"/>
          <w:color w:val="auto"/>
          <w:sz w:val="22"/>
          <w:szCs w:val="22"/>
        </w:rPr>
      </w:pPr>
      <w:r>
        <w:rPr>
          <w:rFonts w:ascii="Calibri" w:hAnsi="Calibri"/>
          <w:color w:val="auto"/>
          <w:sz w:val="22"/>
          <w:szCs w:val="22"/>
        </w:rPr>
        <w:t>Le titulaire du</w:t>
      </w:r>
      <w:r w:rsidR="002769F6" w:rsidRPr="002769F6">
        <w:rPr>
          <w:rFonts w:ascii="Calibri" w:hAnsi="Calibri"/>
          <w:color w:val="auto"/>
          <w:sz w:val="22"/>
          <w:szCs w:val="22"/>
        </w:rPr>
        <w:t xml:space="preserve"> </w:t>
      </w:r>
      <w:r>
        <w:rPr>
          <w:rFonts w:ascii="Calibri" w:hAnsi="Calibri"/>
          <w:color w:val="auto"/>
          <w:sz w:val="22"/>
          <w:szCs w:val="22"/>
        </w:rPr>
        <w:t>marché</w:t>
      </w:r>
      <w:r w:rsidR="004B5C54" w:rsidRPr="002769F6">
        <w:rPr>
          <w:rFonts w:ascii="Calibri" w:hAnsi="Calibri"/>
          <w:color w:val="auto"/>
          <w:sz w:val="22"/>
          <w:szCs w:val="22"/>
        </w:rPr>
        <w:t xml:space="preserve"> </w:t>
      </w:r>
      <w:r>
        <w:rPr>
          <w:rFonts w:ascii="Calibri" w:hAnsi="Calibri"/>
          <w:color w:val="auto"/>
          <w:sz w:val="22"/>
          <w:szCs w:val="22"/>
        </w:rPr>
        <w:t>exécute</w:t>
      </w:r>
      <w:r w:rsidR="002769F6" w:rsidRPr="002769F6">
        <w:rPr>
          <w:rFonts w:ascii="Calibri" w:hAnsi="Calibri"/>
          <w:color w:val="auto"/>
          <w:sz w:val="22"/>
          <w:szCs w:val="22"/>
        </w:rPr>
        <w:t xml:space="preserve"> l’ensemble des prestations conformément aux dispositions du présent CCAP et des autres pièces constituant l’ensemble contractuel.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CA3640" w:rsidP="00CA3640">
      <w:pPr>
        <w:pStyle w:val="Titre2"/>
        <w:rPr>
          <w:color w:val="808080" w:themeColor="accent4"/>
        </w:rPr>
      </w:pPr>
      <w:bookmarkStart w:id="3" w:name="_Toc434355919"/>
      <w:r w:rsidRPr="00CA3640">
        <w:rPr>
          <w:color w:val="808080" w:themeColor="accent4"/>
        </w:rPr>
        <w:t xml:space="preserve">1.2. </w:t>
      </w:r>
      <w:r w:rsidR="004B5C54" w:rsidRPr="00CA3640">
        <w:rPr>
          <w:color w:val="808080" w:themeColor="accent4"/>
        </w:rPr>
        <w:t>Forme du marché</w:t>
      </w:r>
      <w:bookmarkEnd w:id="3"/>
    </w:p>
    <w:p w:rsidR="004B5C54" w:rsidRPr="002769F6" w:rsidRDefault="004B5C54" w:rsidP="00AE4BA3">
      <w:pPr>
        <w:pStyle w:val="Default"/>
        <w:jc w:val="both"/>
        <w:rPr>
          <w:rFonts w:ascii="Calibri" w:hAnsi="Calibri"/>
          <w:color w:val="auto"/>
          <w:sz w:val="22"/>
          <w:szCs w:val="22"/>
        </w:rPr>
      </w:pPr>
    </w:p>
    <w:p w:rsidR="002769F6" w:rsidRPr="002769F6" w:rsidRDefault="006A2F15" w:rsidP="00AE4BA3">
      <w:pPr>
        <w:pStyle w:val="Default"/>
        <w:jc w:val="both"/>
        <w:rPr>
          <w:rFonts w:ascii="Calibri" w:hAnsi="Calibri" w:cs="Times New Roman"/>
          <w:color w:val="auto"/>
          <w:sz w:val="20"/>
          <w:szCs w:val="20"/>
        </w:rPr>
      </w:pPr>
      <w:r w:rsidRPr="002769F6">
        <w:rPr>
          <w:rFonts w:ascii="Calibri" w:hAnsi="Calibri"/>
          <w:color w:val="auto"/>
          <w:sz w:val="22"/>
          <w:szCs w:val="22"/>
        </w:rPr>
        <w:t>Il s’agit d’un appel d’offres ouvert de fournitures courantes et de services selon la procédure formalisée de l’appel d’offres</w:t>
      </w:r>
      <w:r>
        <w:rPr>
          <w:rFonts w:ascii="Calibri" w:hAnsi="Calibri"/>
          <w:color w:val="auto"/>
          <w:sz w:val="22"/>
          <w:szCs w:val="22"/>
        </w:rPr>
        <w:t xml:space="preserve"> </w:t>
      </w:r>
      <w:r w:rsidRPr="003A1A2C">
        <w:rPr>
          <w:rFonts w:ascii="Calibri" w:hAnsi="Calibri"/>
          <w:color w:val="auto"/>
          <w:sz w:val="22"/>
          <w:szCs w:val="22"/>
        </w:rPr>
        <w:t>tel</w:t>
      </w:r>
      <w:r>
        <w:rPr>
          <w:rFonts w:ascii="Calibri" w:hAnsi="Calibri"/>
          <w:color w:val="auto"/>
          <w:sz w:val="22"/>
          <w:szCs w:val="22"/>
        </w:rPr>
        <w:t>le</w:t>
      </w:r>
      <w:r w:rsidRPr="003A1A2C">
        <w:rPr>
          <w:rFonts w:ascii="Calibri" w:hAnsi="Calibri"/>
          <w:color w:val="auto"/>
          <w:sz w:val="22"/>
          <w:szCs w:val="22"/>
        </w:rPr>
        <w:t xml:space="preserve"> que prévue</w:t>
      </w:r>
      <w:r>
        <w:rPr>
          <w:rFonts w:ascii="Calibri" w:hAnsi="Calibri"/>
          <w:color w:val="auto"/>
          <w:sz w:val="22"/>
          <w:szCs w:val="22"/>
        </w:rPr>
        <w:t xml:space="preserve"> aux </w:t>
      </w:r>
      <w:r w:rsidRPr="002769F6">
        <w:rPr>
          <w:rFonts w:ascii="Calibri" w:hAnsi="Calibri"/>
          <w:color w:val="auto"/>
          <w:sz w:val="22"/>
          <w:szCs w:val="22"/>
        </w:rPr>
        <w:t xml:space="preserve">articles </w:t>
      </w:r>
      <w:r w:rsidRPr="007E77ED">
        <w:rPr>
          <w:rFonts w:ascii="Calibri" w:hAnsi="Calibri"/>
          <w:color w:val="auto"/>
          <w:sz w:val="22"/>
          <w:szCs w:val="22"/>
        </w:rPr>
        <w:t>33, 56, 57 à 59 du code des marchés publics.</w:t>
      </w:r>
      <w:r w:rsidRPr="002769F6">
        <w:rPr>
          <w:rFonts w:ascii="Calibri" w:hAnsi="Calibri"/>
          <w:color w:val="auto"/>
          <w:sz w:val="22"/>
          <w:szCs w:val="22"/>
        </w:rPr>
        <w:t xml:space="preserve"> </w:t>
      </w:r>
      <w:r w:rsidR="002769F6" w:rsidRPr="002769F6">
        <w:rPr>
          <w:rFonts w:ascii="Calibri" w:hAnsi="Calibri"/>
          <w:color w:val="auto"/>
          <w:sz w:val="22"/>
          <w:szCs w:val="22"/>
        </w:rPr>
        <w:t xml:space="preserve"> </w:t>
      </w:r>
    </w:p>
    <w:p w:rsidR="002769F6" w:rsidRPr="00CA3640" w:rsidRDefault="00CA3640" w:rsidP="00CA3640">
      <w:pPr>
        <w:pStyle w:val="Titre2"/>
        <w:rPr>
          <w:color w:val="808080" w:themeColor="accent4"/>
        </w:rPr>
      </w:pPr>
      <w:bookmarkStart w:id="4" w:name="_Toc434355920"/>
      <w:r w:rsidRPr="00CA3640">
        <w:rPr>
          <w:color w:val="808080" w:themeColor="accent4"/>
        </w:rPr>
        <w:t xml:space="preserve">1.3. </w:t>
      </w:r>
      <w:r w:rsidR="00B53E06" w:rsidRPr="00CA3640">
        <w:rPr>
          <w:color w:val="808080" w:themeColor="accent4"/>
        </w:rPr>
        <w:t>Montant du marché</w:t>
      </w:r>
      <w:bookmarkEnd w:id="4"/>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B53E06" w:rsidP="00AE4BA3">
      <w:pPr>
        <w:pStyle w:val="Default"/>
        <w:jc w:val="both"/>
        <w:rPr>
          <w:rFonts w:ascii="Calibri" w:hAnsi="Calibri"/>
          <w:color w:val="auto"/>
          <w:sz w:val="22"/>
          <w:szCs w:val="22"/>
        </w:rPr>
      </w:pPr>
      <w:r w:rsidRPr="002769F6">
        <w:rPr>
          <w:rFonts w:ascii="Calibri" w:hAnsi="Calibri"/>
          <w:color w:val="auto"/>
          <w:sz w:val="22"/>
          <w:szCs w:val="22"/>
        </w:rPr>
        <w:t xml:space="preserve">Le marché </w:t>
      </w:r>
      <w:r w:rsidR="002769F6" w:rsidRPr="002769F6">
        <w:rPr>
          <w:rFonts w:ascii="Calibri" w:hAnsi="Calibri"/>
          <w:color w:val="auto"/>
          <w:sz w:val="22"/>
          <w:szCs w:val="22"/>
        </w:rPr>
        <w:t>est conclu sans montant minimum ni maximum</w:t>
      </w:r>
      <w:r w:rsidR="001E2C4F">
        <w:rPr>
          <w:rFonts w:ascii="Calibri" w:hAnsi="Calibri"/>
          <w:color w:val="auto"/>
          <w:sz w:val="22"/>
          <w:szCs w:val="22"/>
        </w:rPr>
        <w:t>.</w:t>
      </w:r>
      <w:r w:rsidR="002769F6" w:rsidRPr="002769F6">
        <w:rPr>
          <w:rFonts w:ascii="Calibri" w:hAnsi="Calibri"/>
          <w:color w:val="auto"/>
          <w:sz w:val="22"/>
          <w:szCs w:val="22"/>
        </w:rPr>
        <w:t xml:space="preserve">  </w:t>
      </w:r>
    </w:p>
    <w:p w:rsidR="002769F6" w:rsidRPr="00CA3640" w:rsidRDefault="00CA3640" w:rsidP="00CA3640">
      <w:pPr>
        <w:pStyle w:val="Titre2"/>
        <w:rPr>
          <w:color w:val="808080" w:themeColor="accent4"/>
        </w:rPr>
      </w:pPr>
      <w:bookmarkStart w:id="5" w:name="_Toc434355921"/>
      <w:r w:rsidRPr="00CA3640">
        <w:rPr>
          <w:color w:val="808080" w:themeColor="accent4"/>
        </w:rPr>
        <w:t xml:space="preserve">1.4. </w:t>
      </w:r>
      <w:r w:rsidR="002769F6" w:rsidRPr="00CA3640">
        <w:rPr>
          <w:color w:val="808080" w:themeColor="accent4"/>
        </w:rPr>
        <w:t>Allotissement</w:t>
      </w:r>
      <w:bookmarkEnd w:id="5"/>
      <w:r w:rsidR="002769F6" w:rsidRPr="00CA3640">
        <w:rPr>
          <w:color w:val="808080" w:themeColor="accent4"/>
        </w:rPr>
        <w:t xml:space="preserve"> </w:t>
      </w:r>
    </w:p>
    <w:p w:rsidR="00CA3640" w:rsidRDefault="00CA3640" w:rsidP="00AE4BA3">
      <w:pPr>
        <w:pStyle w:val="Default"/>
        <w:jc w:val="both"/>
        <w:rPr>
          <w:rFonts w:ascii="Calibri" w:hAnsi="Calibri"/>
          <w:bCs/>
          <w:color w:val="auto"/>
        </w:rPr>
      </w:pPr>
    </w:p>
    <w:p w:rsidR="00F11BC9" w:rsidRPr="00F11BC9" w:rsidRDefault="00F11BC9" w:rsidP="00F11BC9">
      <w:pPr>
        <w:pStyle w:val="Default"/>
        <w:jc w:val="both"/>
        <w:rPr>
          <w:rFonts w:ascii="Calibri" w:hAnsi="Calibri"/>
          <w:color w:val="auto"/>
          <w:sz w:val="22"/>
          <w:szCs w:val="22"/>
        </w:rPr>
      </w:pPr>
      <w:r w:rsidRPr="00F11BC9">
        <w:rPr>
          <w:rFonts w:ascii="Calibri" w:hAnsi="Calibri"/>
          <w:color w:val="auto"/>
          <w:sz w:val="22"/>
          <w:szCs w:val="22"/>
        </w:rPr>
        <w:t>Le présent marché est composé d’un seul lot.</w:t>
      </w:r>
    </w:p>
    <w:p w:rsidR="002769F6" w:rsidRPr="002769F6" w:rsidRDefault="002769F6" w:rsidP="00AE4BA3">
      <w:pPr>
        <w:pStyle w:val="Default"/>
        <w:jc w:val="both"/>
        <w:rPr>
          <w:rFonts w:ascii="Calibri" w:hAnsi="Calibri"/>
          <w:color w:val="auto"/>
          <w:sz w:val="22"/>
          <w:szCs w:val="22"/>
        </w:rPr>
      </w:pPr>
    </w:p>
    <w:p w:rsidR="002769F6" w:rsidRPr="00CA3640" w:rsidRDefault="00CA3640" w:rsidP="00CA3640">
      <w:pPr>
        <w:pStyle w:val="Titre2"/>
        <w:rPr>
          <w:color w:val="808080" w:themeColor="accent4"/>
        </w:rPr>
      </w:pPr>
      <w:bookmarkStart w:id="6" w:name="_Toc434355922"/>
      <w:r w:rsidRPr="00CA3640">
        <w:rPr>
          <w:color w:val="808080" w:themeColor="accent4"/>
        </w:rPr>
        <w:t xml:space="preserve">1.5. </w:t>
      </w:r>
      <w:r w:rsidR="002769F6" w:rsidRPr="00CA3640">
        <w:rPr>
          <w:color w:val="808080" w:themeColor="accent4"/>
        </w:rPr>
        <w:t>Lieu d’exécution</w:t>
      </w:r>
      <w:bookmarkEnd w:id="6"/>
      <w:r w:rsidR="002769F6"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Les lieux de fourniture et d’acheminement d’éle</w:t>
      </w:r>
      <w:r w:rsidR="00A1622A">
        <w:rPr>
          <w:rFonts w:ascii="Calibri" w:hAnsi="Calibri"/>
          <w:color w:val="auto"/>
          <w:sz w:val="22"/>
          <w:szCs w:val="22"/>
        </w:rPr>
        <w:t>ctricité sont les adresses des Points de L</w:t>
      </w:r>
      <w:r w:rsidRPr="002769F6">
        <w:rPr>
          <w:rFonts w:ascii="Calibri" w:hAnsi="Calibri"/>
          <w:color w:val="auto"/>
          <w:sz w:val="22"/>
          <w:szCs w:val="22"/>
        </w:rPr>
        <w:t xml:space="preserve">ivraisons </w:t>
      </w:r>
      <w:r w:rsidR="00CA3640">
        <w:rPr>
          <w:rFonts w:ascii="Calibri" w:hAnsi="Calibri"/>
          <w:color w:val="auto"/>
          <w:sz w:val="22"/>
          <w:szCs w:val="22"/>
        </w:rPr>
        <w:t xml:space="preserve">(PdL) </w:t>
      </w:r>
      <w:r w:rsidRPr="002769F6">
        <w:rPr>
          <w:rFonts w:ascii="Calibri" w:hAnsi="Calibri"/>
          <w:color w:val="auto"/>
          <w:sz w:val="22"/>
          <w:szCs w:val="22"/>
        </w:rPr>
        <w:t xml:space="preserve">des services bénéficiaires, identifiés par une Référence d’Acheminement </w:t>
      </w:r>
      <w:r w:rsidRPr="00CA3640">
        <w:rPr>
          <w:rFonts w:ascii="Calibri" w:hAnsi="Calibri"/>
          <w:color w:val="auto"/>
          <w:sz w:val="22"/>
          <w:szCs w:val="22"/>
        </w:rPr>
        <w:t>d’Electricité</w:t>
      </w:r>
      <w:r w:rsidR="00F32900">
        <w:rPr>
          <w:rFonts w:ascii="Calibri" w:hAnsi="Calibri"/>
          <w:b/>
          <w:color w:val="0070C0"/>
          <w:sz w:val="22"/>
          <w:szCs w:val="22"/>
        </w:rPr>
        <w:t>.</w:t>
      </w:r>
      <w:r w:rsidR="00F32900" w:rsidRPr="00380E4B">
        <w:rPr>
          <w:rFonts w:ascii="Calibri" w:hAnsi="Calibri"/>
          <w:b/>
          <w:color w:val="auto"/>
          <w:sz w:val="22"/>
          <w:szCs w:val="22"/>
        </w:rPr>
        <w:t xml:space="preserve"> </w:t>
      </w:r>
      <w:r w:rsidR="00F32900" w:rsidRPr="00380E4B">
        <w:rPr>
          <w:rFonts w:ascii="Calibri" w:hAnsi="Calibri"/>
          <w:color w:val="auto"/>
          <w:sz w:val="22"/>
          <w:szCs w:val="22"/>
        </w:rPr>
        <w:t>Ils</w:t>
      </w:r>
      <w:r w:rsidR="00F32900">
        <w:rPr>
          <w:rFonts w:ascii="Calibri" w:hAnsi="Calibri"/>
          <w:b/>
          <w:color w:val="0070C0"/>
          <w:sz w:val="22"/>
          <w:szCs w:val="22"/>
        </w:rPr>
        <w:t xml:space="preserve"> </w:t>
      </w:r>
      <w:r w:rsidRPr="00CA3640">
        <w:rPr>
          <w:rFonts w:ascii="Calibri" w:hAnsi="Calibri"/>
          <w:color w:val="auto"/>
          <w:sz w:val="22"/>
          <w:szCs w:val="22"/>
        </w:rPr>
        <w:t>peuvent</w:t>
      </w:r>
      <w:r w:rsidRPr="002769F6">
        <w:rPr>
          <w:rFonts w:ascii="Calibri" w:hAnsi="Calibri"/>
          <w:color w:val="auto"/>
          <w:sz w:val="22"/>
          <w:szCs w:val="22"/>
        </w:rPr>
        <w:t xml:space="preserve"> faire l’objet de modifications conformément aux modalités du présent CCAP.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CA3640" w:rsidP="00CA3640">
      <w:pPr>
        <w:pStyle w:val="Titre2"/>
        <w:rPr>
          <w:color w:val="808080" w:themeColor="accent4"/>
        </w:rPr>
      </w:pPr>
      <w:bookmarkStart w:id="7" w:name="_Toc434355923"/>
      <w:r w:rsidRPr="00CA3640">
        <w:rPr>
          <w:color w:val="808080" w:themeColor="accent4"/>
        </w:rPr>
        <w:t xml:space="preserve">1.6. </w:t>
      </w:r>
      <w:r w:rsidR="004B5C54" w:rsidRPr="00CA3640">
        <w:rPr>
          <w:color w:val="808080" w:themeColor="accent4"/>
        </w:rPr>
        <w:t>Durée du marché</w:t>
      </w:r>
      <w:bookmarkEnd w:id="7"/>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B53E06" w:rsidP="009C08D0">
      <w:pPr>
        <w:spacing w:after="120"/>
        <w:contextualSpacing/>
        <w:jc w:val="both"/>
      </w:pPr>
      <w:r w:rsidRPr="00B53E06">
        <w:rPr>
          <w:rFonts w:cs="Trebuchet MS"/>
        </w:rPr>
        <w:t xml:space="preserve">La durée du marché est fixée à 36 mois non reconductible à compter de la date </w:t>
      </w:r>
      <w:r w:rsidR="00F32900">
        <w:rPr>
          <w:rFonts w:cs="Trebuchet MS"/>
        </w:rPr>
        <w:t xml:space="preserve">de début d’exécution du marché, </w:t>
      </w:r>
      <w:r w:rsidR="00F32900" w:rsidRPr="0096280D">
        <w:rPr>
          <w:rFonts w:cs="Trebuchet MS"/>
        </w:rPr>
        <w:t xml:space="preserve">soit le </w:t>
      </w:r>
      <w:r w:rsidR="00F32900" w:rsidRPr="00C65E4D">
        <w:rPr>
          <w:rFonts w:cs="Trebuchet MS"/>
        </w:rPr>
        <w:t>1er janvier 2016 à 0h00.</w:t>
      </w:r>
      <w:r w:rsidR="00F11BC9">
        <w:rPr>
          <w:rFonts w:cs="Trebuchet MS"/>
        </w:rPr>
        <w:t xml:space="preserve"> </w:t>
      </w:r>
    </w:p>
    <w:p w:rsidR="002769F6" w:rsidRPr="00CA3640" w:rsidRDefault="002769F6" w:rsidP="00CA3640">
      <w:pPr>
        <w:pStyle w:val="Titre1"/>
        <w:rPr>
          <w:color w:val="auto"/>
        </w:rPr>
      </w:pPr>
      <w:bookmarkStart w:id="8" w:name="_Toc434355924"/>
      <w:r w:rsidRPr="00CA3640">
        <w:rPr>
          <w:color w:val="auto"/>
        </w:rPr>
        <w:t>ARTICLE 2 : DOCUMENTS CONTRACTUELS</w:t>
      </w:r>
      <w:bookmarkEnd w:id="8"/>
      <w:r w:rsidRPr="00CA364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5456CE" w:rsidRDefault="004B5C54" w:rsidP="005456CE">
      <w:pPr>
        <w:pStyle w:val="Default"/>
        <w:jc w:val="both"/>
        <w:rPr>
          <w:rFonts w:ascii="Calibri" w:hAnsi="Calibri"/>
          <w:color w:val="auto"/>
          <w:sz w:val="22"/>
          <w:szCs w:val="22"/>
        </w:rPr>
      </w:pPr>
      <w:r w:rsidRPr="002769F6">
        <w:rPr>
          <w:rFonts w:ascii="Calibri" w:hAnsi="Calibri"/>
          <w:color w:val="auto"/>
          <w:sz w:val="22"/>
          <w:szCs w:val="22"/>
        </w:rPr>
        <w:t xml:space="preserve">Les pièces contractuelles du marché </w:t>
      </w:r>
      <w:r w:rsidR="002769F6" w:rsidRPr="002769F6">
        <w:rPr>
          <w:rFonts w:ascii="Calibri" w:hAnsi="Calibri"/>
          <w:color w:val="auto"/>
          <w:sz w:val="22"/>
          <w:szCs w:val="22"/>
        </w:rPr>
        <w:t xml:space="preserve">sont par ordre de priorité décroissante : </w:t>
      </w:r>
    </w:p>
    <w:p w:rsidR="005456CE" w:rsidRDefault="00EA5221" w:rsidP="005456CE">
      <w:pPr>
        <w:pStyle w:val="Default"/>
        <w:numPr>
          <w:ilvl w:val="0"/>
          <w:numId w:val="19"/>
        </w:numPr>
        <w:jc w:val="both"/>
        <w:rPr>
          <w:rFonts w:ascii="Calibri" w:hAnsi="Calibri"/>
          <w:color w:val="auto"/>
          <w:sz w:val="22"/>
          <w:szCs w:val="22"/>
        </w:rPr>
      </w:pPr>
      <w:r>
        <w:rPr>
          <w:rFonts w:ascii="Calibri" w:hAnsi="Calibri"/>
          <w:color w:val="auto"/>
          <w:sz w:val="22"/>
          <w:szCs w:val="22"/>
        </w:rPr>
        <w:lastRenderedPageBreak/>
        <w:t>l’Acte d’E</w:t>
      </w:r>
      <w:r w:rsidR="002769F6" w:rsidRPr="005456CE">
        <w:rPr>
          <w:rFonts w:ascii="Calibri" w:hAnsi="Calibri"/>
          <w:color w:val="auto"/>
          <w:sz w:val="22"/>
          <w:szCs w:val="22"/>
        </w:rPr>
        <w:t>ngagement</w:t>
      </w:r>
      <w:r>
        <w:rPr>
          <w:rFonts w:ascii="Calibri" w:hAnsi="Calibri"/>
          <w:color w:val="auto"/>
          <w:sz w:val="22"/>
          <w:szCs w:val="22"/>
        </w:rPr>
        <w:t xml:space="preserve"> (AE)</w:t>
      </w:r>
      <w:r w:rsidR="002769F6" w:rsidRPr="005456CE">
        <w:rPr>
          <w:rFonts w:ascii="Calibri" w:hAnsi="Calibri"/>
          <w:color w:val="auto"/>
          <w:sz w:val="22"/>
          <w:szCs w:val="22"/>
        </w:rPr>
        <w:t xml:space="preserve"> dûment complété et signé par la personne ha</w:t>
      </w:r>
      <w:r w:rsidR="005456CE">
        <w:rPr>
          <w:rFonts w:ascii="Calibri" w:hAnsi="Calibri"/>
          <w:color w:val="auto"/>
          <w:sz w:val="22"/>
          <w:szCs w:val="22"/>
        </w:rPr>
        <w:t>bilitée à engager le titulaire,</w:t>
      </w:r>
    </w:p>
    <w:p w:rsidR="00C65E4D" w:rsidRDefault="00C65E4D" w:rsidP="00C65E4D">
      <w:pPr>
        <w:pStyle w:val="Default"/>
        <w:numPr>
          <w:ilvl w:val="0"/>
          <w:numId w:val="19"/>
        </w:numPr>
        <w:jc w:val="both"/>
        <w:rPr>
          <w:rFonts w:ascii="Calibri" w:hAnsi="Calibri"/>
          <w:color w:val="auto"/>
          <w:sz w:val="22"/>
          <w:szCs w:val="22"/>
        </w:rPr>
      </w:pPr>
      <w:r>
        <w:rPr>
          <w:rFonts w:ascii="Calibri" w:hAnsi="Calibri"/>
          <w:color w:val="auto"/>
          <w:sz w:val="22"/>
          <w:szCs w:val="22"/>
        </w:rPr>
        <w:t>l</w:t>
      </w:r>
      <w:r w:rsidRPr="005456CE">
        <w:rPr>
          <w:rFonts w:ascii="Calibri" w:hAnsi="Calibri"/>
          <w:color w:val="auto"/>
          <w:sz w:val="22"/>
          <w:szCs w:val="22"/>
        </w:rPr>
        <w:t>e Bordereau des Prix Unitaires (BPU)</w:t>
      </w:r>
      <w:r>
        <w:rPr>
          <w:rFonts w:ascii="Calibri" w:hAnsi="Calibri"/>
          <w:color w:val="auto"/>
          <w:sz w:val="22"/>
          <w:szCs w:val="22"/>
        </w:rPr>
        <w:t>,</w:t>
      </w:r>
    </w:p>
    <w:p w:rsidR="00C65E4D" w:rsidRDefault="00C65E4D" w:rsidP="00C65E4D">
      <w:pPr>
        <w:pStyle w:val="Default"/>
        <w:numPr>
          <w:ilvl w:val="0"/>
          <w:numId w:val="19"/>
        </w:numPr>
        <w:jc w:val="both"/>
        <w:rPr>
          <w:rFonts w:ascii="Calibri" w:hAnsi="Calibri"/>
          <w:color w:val="auto"/>
          <w:sz w:val="22"/>
          <w:szCs w:val="22"/>
        </w:rPr>
      </w:pPr>
      <w:r>
        <w:rPr>
          <w:rFonts w:ascii="Calibri" w:hAnsi="Calibri"/>
          <w:color w:val="auto"/>
          <w:sz w:val="22"/>
          <w:szCs w:val="22"/>
        </w:rPr>
        <w:t>l</w:t>
      </w:r>
      <w:r w:rsidRPr="005456CE">
        <w:rPr>
          <w:rFonts w:ascii="Calibri" w:hAnsi="Calibri"/>
          <w:color w:val="auto"/>
          <w:sz w:val="22"/>
          <w:szCs w:val="22"/>
        </w:rPr>
        <w:t>e Devis Quantitatif Estimatif (DQE)</w:t>
      </w:r>
      <w:r>
        <w:rPr>
          <w:rFonts w:ascii="Calibri" w:hAnsi="Calibri"/>
          <w:color w:val="auto"/>
          <w:sz w:val="22"/>
          <w:szCs w:val="22"/>
        </w:rPr>
        <w:t>,</w:t>
      </w:r>
    </w:p>
    <w:p w:rsidR="005456CE" w:rsidRDefault="002769F6" w:rsidP="005456CE">
      <w:pPr>
        <w:pStyle w:val="Default"/>
        <w:numPr>
          <w:ilvl w:val="0"/>
          <w:numId w:val="19"/>
        </w:numPr>
        <w:jc w:val="both"/>
        <w:rPr>
          <w:rFonts w:ascii="Calibri" w:hAnsi="Calibri"/>
          <w:color w:val="auto"/>
          <w:sz w:val="22"/>
          <w:szCs w:val="22"/>
        </w:rPr>
      </w:pPr>
      <w:r w:rsidRPr="005456CE">
        <w:rPr>
          <w:rFonts w:ascii="Calibri" w:hAnsi="Calibri"/>
          <w:color w:val="auto"/>
          <w:sz w:val="22"/>
          <w:szCs w:val="22"/>
        </w:rPr>
        <w:t>le présent Cahier des Clauses Administratives Parti</w:t>
      </w:r>
      <w:r w:rsidR="007E0CBB" w:rsidRPr="005456CE">
        <w:rPr>
          <w:rFonts w:ascii="Calibri" w:hAnsi="Calibri"/>
          <w:color w:val="auto"/>
          <w:sz w:val="22"/>
          <w:szCs w:val="22"/>
        </w:rPr>
        <w:t xml:space="preserve">culières </w:t>
      </w:r>
      <w:r w:rsidRPr="005456CE">
        <w:rPr>
          <w:rFonts w:ascii="Calibri" w:hAnsi="Calibri"/>
          <w:color w:val="auto"/>
          <w:sz w:val="22"/>
          <w:szCs w:val="22"/>
        </w:rPr>
        <w:t xml:space="preserve">(CCAP) accepté sans modification ni réserve, </w:t>
      </w:r>
    </w:p>
    <w:p w:rsidR="005456CE" w:rsidRDefault="002769F6" w:rsidP="005456CE">
      <w:pPr>
        <w:pStyle w:val="Default"/>
        <w:numPr>
          <w:ilvl w:val="0"/>
          <w:numId w:val="19"/>
        </w:numPr>
        <w:jc w:val="both"/>
        <w:rPr>
          <w:rFonts w:ascii="Calibri" w:hAnsi="Calibri"/>
          <w:color w:val="auto"/>
          <w:sz w:val="22"/>
          <w:szCs w:val="22"/>
        </w:rPr>
      </w:pPr>
      <w:r w:rsidRPr="005456CE">
        <w:rPr>
          <w:rFonts w:ascii="Calibri" w:hAnsi="Calibri"/>
          <w:color w:val="auto"/>
          <w:sz w:val="22"/>
          <w:szCs w:val="22"/>
        </w:rPr>
        <w:t>le Cahier des Clauses Techniques Particulières (CCTP</w:t>
      </w:r>
      <w:r w:rsidR="00380E4B" w:rsidRPr="005456CE">
        <w:rPr>
          <w:rFonts w:ascii="Calibri" w:hAnsi="Calibri"/>
          <w:color w:val="auto"/>
          <w:sz w:val="22"/>
          <w:szCs w:val="22"/>
        </w:rPr>
        <w:t>)</w:t>
      </w:r>
      <w:r w:rsidRPr="005456CE">
        <w:rPr>
          <w:rFonts w:ascii="Calibri" w:hAnsi="Calibri"/>
          <w:color w:val="auto"/>
          <w:sz w:val="22"/>
          <w:szCs w:val="22"/>
        </w:rPr>
        <w:t xml:space="preserve"> accepté sans modification ni réserve, </w:t>
      </w:r>
    </w:p>
    <w:p w:rsidR="005456CE" w:rsidRDefault="005456CE" w:rsidP="005456CE">
      <w:pPr>
        <w:pStyle w:val="Default"/>
        <w:numPr>
          <w:ilvl w:val="0"/>
          <w:numId w:val="19"/>
        </w:numPr>
        <w:jc w:val="both"/>
        <w:rPr>
          <w:rFonts w:ascii="Calibri" w:hAnsi="Calibri"/>
          <w:color w:val="auto"/>
          <w:sz w:val="22"/>
          <w:szCs w:val="22"/>
        </w:rPr>
      </w:pPr>
      <w:r>
        <w:rPr>
          <w:rFonts w:ascii="Calibri" w:hAnsi="Calibri"/>
          <w:color w:val="auto"/>
          <w:sz w:val="22"/>
          <w:szCs w:val="22"/>
        </w:rPr>
        <w:t>l</w:t>
      </w:r>
      <w:r w:rsidR="00B17845" w:rsidRPr="005456CE">
        <w:rPr>
          <w:rFonts w:ascii="Calibri" w:hAnsi="Calibri"/>
          <w:color w:val="auto"/>
          <w:sz w:val="22"/>
          <w:szCs w:val="22"/>
        </w:rPr>
        <w:t xml:space="preserve">e </w:t>
      </w:r>
      <w:r w:rsidR="002769F6" w:rsidRPr="005456CE">
        <w:rPr>
          <w:rFonts w:ascii="Calibri" w:hAnsi="Calibri"/>
          <w:color w:val="auto"/>
          <w:sz w:val="22"/>
          <w:szCs w:val="22"/>
        </w:rPr>
        <w:t xml:space="preserve">Cahier des Clauses Administratives Générales applicables  aux marchés  publics  de fournitures courantes et de services (CCAG-FCS) 2009, </w:t>
      </w:r>
    </w:p>
    <w:p w:rsidR="002769F6" w:rsidRPr="005456CE" w:rsidRDefault="005456CE" w:rsidP="005456CE">
      <w:pPr>
        <w:pStyle w:val="Default"/>
        <w:numPr>
          <w:ilvl w:val="0"/>
          <w:numId w:val="19"/>
        </w:numPr>
        <w:jc w:val="both"/>
        <w:rPr>
          <w:rFonts w:ascii="Calibri" w:hAnsi="Calibri"/>
          <w:color w:val="auto"/>
          <w:sz w:val="22"/>
          <w:szCs w:val="22"/>
        </w:rPr>
      </w:pPr>
      <w:r>
        <w:rPr>
          <w:rFonts w:ascii="Calibri" w:hAnsi="Calibri"/>
          <w:color w:val="auto"/>
          <w:sz w:val="22"/>
          <w:szCs w:val="22"/>
        </w:rPr>
        <w:t>l</w:t>
      </w:r>
      <w:r w:rsidR="002769F6" w:rsidRPr="005456CE">
        <w:rPr>
          <w:rFonts w:ascii="Calibri" w:hAnsi="Calibri"/>
          <w:color w:val="auto"/>
          <w:sz w:val="22"/>
          <w:szCs w:val="22"/>
        </w:rPr>
        <w:t xml:space="preserve">e Mémoire </w:t>
      </w:r>
      <w:r w:rsidR="001276F8">
        <w:rPr>
          <w:rFonts w:ascii="Calibri" w:hAnsi="Calibri"/>
          <w:color w:val="auto"/>
          <w:sz w:val="22"/>
          <w:szCs w:val="22"/>
        </w:rPr>
        <w:t>T</w:t>
      </w:r>
      <w:r w:rsidR="002769F6" w:rsidRPr="005456CE">
        <w:rPr>
          <w:rFonts w:ascii="Calibri" w:hAnsi="Calibri"/>
          <w:color w:val="auto"/>
          <w:sz w:val="22"/>
          <w:szCs w:val="22"/>
        </w:rPr>
        <w:t xml:space="preserve">echnique du titulaire. </w:t>
      </w:r>
    </w:p>
    <w:p w:rsidR="002769F6" w:rsidRPr="002769F6" w:rsidRDefault="002769F6" w:rsidP="00AE4BA3">
      <w:pPr>
        <w:pStyle w:val="Default"/>
        <w:jc w:val="both"/>
        <w:rPr>
          <w:rFonts w:ascii="Calibri" w:hAnsi="Calibri"/>
          <w:color w:val="auto"/>
          <w:sz w:val="22"/>
          <w:szCs w:val="22"/>
        </w:rPr>
      </w:pPr>
    </w:p>
    <w:p w:rsidR="002769F6" w:rsidRPr="002769F6" w:rsidRDefault="00B53E06" w:rsidP="00AE4BA3">
      <w:pPr>
        <w:pStyle w:val="Default"/>
        <w:jc w:val="both"/>
        <w:rPr>
          <w:rFonts w:ascii="Calibri" w:hAnsi="Calibri"/>
          <w:color w:val="auto"/>
          <w:sz w:val="22"/>
          <w:szCs w:val="22"/>
        </w:rPr>
      </w:pPr>
      <w:r w:rsidRPr="002769F6">
        <w:rPr>
          <w:rFonts w:ascii="Calibri" w:hAnsi="Calibri"/>
          <w:color w:val="auto"/>
          <w:sz w:val="22"/>
          <w:szCs w:val="22"/>
        </w:rPr>
        <w:t xml:space="preserve">Les pièces constitutives du présent marché passé </w:t>
      </w:r>
      <w:r w:rsidR="002769F6" w:rsidRPr="002769F6">
        <w:rPr>
          <w:rFonts w:ascii="Calibri" w:hAnsi="Calibri"/>
          <w:color w:val="auto"/>
          <w:sz w:val="22"/>
          <w:szCs w:val="22"/>
        </w:rPr>
        <w:t xml:space="preserve">prévalent, en cas de contradiction entre elles, dans l’ordre où elles sont énumérées ci-dessus.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2769F6" w:rsidP="00CA3640">
      <w:pPr>
        <w:pStyle w:val="Titre1"/>
        <w:rPr>
          <w:color w:val="auto"/>
        </w:rPr>
      </w:pPr>
      <w:bookmarkStart w:id="9" w:name="_Toc434355925"/>
      <w:r w:rsidRPr="00CA3640">
        <w:rPr>
          <w:color w:val="auto"/>
        </w:rPr>
        <w:t xml:space="preserve">ARTICLE </w:t>
      </w:r>
      <w:r w:rsidR="00B05F02" w:rsidRPr="00CA3640">
        <w:rPr>
          <w:color w:val="auto"/>
        </w:rPr>
        <w:t>3</w:t>
      </w:r>
      <w:r w:rsidRPr="00CA3640">
        <w:rPr>
          <w:color w:val="auto"/>
        </w:rPr>
        <w:t xml:space="preserve"> : MODALITES D’EXECUTION DES PRESTATIONS</w:t>
      </w:r>
      <w:bookmarkEnd w:id="9"/>
      <w:r w:rsidRPr="00CA364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2769F6" w:rsidP="009C08D0">
      <w:pPr>
        <w:pStyle w:val="Titre2"/>
        <w:rPr>
          <w:color w:val="808080" w:themeColor="accent4"/>
        </w:rPr>
      </w:pPr>
      <w:r w:rsidRPr="009C08D0">
        <w:rPr>
          <w:color w:val="808080" w:themeColor="accent4"/>
        </w:rPr>
        <w:t xml:space="preserve"> </w:t>
      </w:r>
      <w:bookmarkStart w:id="10" w:name="_Toc434355926"/>
      <w:r w:rsidR="00B05F02" w:rsidRPr="00CA3640">
        <w:rPr>
          <w:color w:val="808080" w:themeColor="accent4"/>
        </w:rPr>
        <w:t>3</w:t>
      </w:r>
      <w:r w:rsidR="00CA3640" w:rsidRPr="00CA3640">
        <w:rPr>
          <w:color w:val="808080" w:themeColor="accent4"/>
        </w:rPr>
        <w:t xml:space="preserve">.1. </w:t>
      </w:r>
      <w:r w:rsidR="00B53E06" w:rsidRPr="00CA3640">
        <w:rPr>
          <w:color w:val="808080" w:themeColor="accent4"/>
        </w:rPr>
        <w:t>Notification</w:t>
      </w:r>
      <w:bookmarkEnd w:id="10"/>
      <w:r w:rsidR="00B53E06"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B53E06" w:rsidP="00AE4BA3">
      <w:pPr>
        <w:pStyle w:val="Default"/>
        <w:jc w:val="both"/>
        <w:rPr>
          <w:rFonts w:ascii="Calibri" w:hAnsi="Calibri"/>
          <w:color w:val="auto"/>
          <w:sz w:val="22"/>
          <w:szCs w:val="22"/>
        </w:rPr>
      </w:pPr>
      <w:r w:rsidRPr="002769F6">
        <w:rPr>
          <w:rFonts w:ascii="Calibri" w:hAnsi="Calibri"/>
          <w:color w:val="auto"/>
          <w:sz w:val="22"/>
          <w:szCs w:val="22"/>
        </w:rPr>
        <w:t xml:space="preserve">La notification du marché </w:t>
      </w:r>
      <w:r w:rsidR="002769F6" w:rsidRPr="002769F6">
        <w:rPr>
          <w:rFonts w:ascii="Calibri" w:hAnsi="Calibri"/>
          <w:color w:val="auto"/>
          <w:sz w:val="22"/>
          <w:szCs w:val="22"/>
        </w:rPr>
        <w:t>n’emporte pas début de fourniture. En revanche, elle</w:t>
      </w:r>
      <w:r w:rsidRPr="002769F6">
        <w:rPr>
          <w:rFonts w:ascii="Calibri" w:hAnsi="Calibri"/>
          <w:color w:val="auto"/>
          <w:sz w:val="22"/>
          <w:szCs w:val="22"/>
        </w:rPr>
        <w:t xml:space="preserve"> engage le titulaire du marché </w:t>
      </w:r>
      <w:r w:rsidR="002769F6" w:rsidRPr="002769F6">
        <w:rPr>
          <w:rFonts w:ascii="Calibri" w:hAnsi="Calibri"/>
          <w:color w:val="auto"/>
          <w:sz w:val="22"/>
          <w:szCs w:val="22"/>
        </w:rPr>
        <w:t>envers l</w:t>
      </w:r>
      <w:r w:rsidR="009F52B9">
        <w:rPr>
          <w:rFonts w:ascii="Calibri" w:hAnsi="Calibri"/>
          <w:color w:val="auto"/>
          <w:sz w:val="22"/>
          <w:szCs w:val="22"/>
        </w:rPr>
        <w:t xml:space="preserve">a mairie </w:t>
      </w:r>
      <w:r w:rsidR="00450ADE">
        <w:rPr>
          <w:rFonts w:ascii="Calibri" w:hAnsi="Calibri"/>
          <w:color w:val="auto"/>
          <w:sz w:val="22"/>
          <w:szCs w:val="22"/>
        </w:rPr>
        <w:t xml:space="preserve">de </w:t>
      </w:r>
      <w:r w:rsidR="00A90672">
        <w:rPr>
          <w:rFonts w:ascii="Calibri" w:hAnsi="Calibri"/>
          <w:color w:val="auto"/>
          <w:sz w:val="22"/>
          <w:szCs w:val="22"/>
        </w:rPr>
        <w:t>Gouesnou</w:t>
      </w:r>
      <w:r w:rsidR="00F17EA4">
        <w:rPr>
          <w:rFonts w:ascii="Calibri" w:hAnsi="Calibri"/>
          <w:color w:val="auto"/>
          <w:sz w:val="22"/>
          <w:szCs w:val="22"/>
        </w:rPr>
        <w:t xml:space="preserve"> </w:t>
      </w:r>
      <w:r w:rsidR="002769F6" w:rsidRPr="002769F6">
        <w:rPr>
          <w:rFonts w:ascii="Calibri" w:hAnsi="Calibri"/>
          <w:color w:val="auto"/>
          <w:sz w:val="22"/>
          <w:szCs w:val="22"/>
        </w:rPr>
        <w:t xml:space="preserve"> et le gestionnaire de réseaux ERDF à accomplir l’ensemble des opérations nécessaires et préalables à l’exécution des prestations telles que décrites au CCTP ainsi que de l’ensemble des engage</w:t>
      </w:r>
      <w:r w:rsidR="004F225A">
        <w:rPr>
          <w:rFonts w:ascii="Calibri" w:hAnsi="Calibri"/>
          <w:color w:val="auto"/>
          <w:sz w:val="22"/>
          <w:szCs w:val="22"/>
        </w:rPr>
        <w:t>ments contenus dans le Mémoire T</w:t>
      </w:r>
      <w:r w:rsidR="002769F6" w:rsidRPr="002769F6">
        <w:rPr>
          <w:rFonts w:ascii="Calibri" w:hAnsi="Calibri"/>
          <w:color w:val="auto"/>
          <w:sz w:val="22"/>
          <w:szCs w:val="22"/>
        </w:rPr>
        <w:t xml:space="preserve">echnique du titulaire.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B05F02" w:rsidP="00CA3640">
      <w:pPr>
        <w:pStyle w:val="Titre2"/>
        <w:rPr>
          <w:color w:val="808080" w:themeColor="accent4"/>
        </w:rPr>
      </w:pPr>
      <w:bookmarkStart w:id="11" w:name="_Toc434355927"/>
      <w:r w:rsidRPr="00CA3640">
        <w:rPr>
          <w:color w:val="808080" w:themeColor="accent4"/>
        </w:rPr>
        <w:t>3</w:t>
      </w:r>
      <w:r w:rsidR="00CA3640" w:rsidRPr="00CA3640">
        <w:rPr>
          <w:color w:val="808080" w:themeColor="accent4"/>
        </w:rPr>
        <w:t>.2</w:t>
      </w:r>
      <w:r w:rsidR="00041562">
        <w:rPr>
          <w:color w:val="808080" w:themeColor="accent4"/>
        </w:rPr>
        <w:t>.</w:t>
      </w:r>
      <w:r w:rsidR="00CA3640" w:rsidRPr="00CA3640">
        <w:rPr>
          <w:color w:val="808080" w:themeColor="accent4"/>
        </w:rPr>
        <w:t xml:space="preserve"> </w:t>
      </w:r>
      <w:r w:rsidR="002769F6" w:rsidRPr="00CA3640">
        <w:rPr>
          <w:color w:val="808080" w:themeColor="accent4"/>
        </w:rPr>
        <w:t>Continuité de la fourniture</w:t>
      </w:r>
      <w:bookmarkEnd w:id="11"/>
      <w:r w:rsidR="002769F6"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En cas de grève ou de toute autre indisponibilité, la continuité de la fourniture doit être assurée par l</w:t>
      </w:r>
      <w:r w:rsidR="00FF2A53" w:rsidRPr="002769F6">
        <w:rPr>
          <w:rFonts w:ascii="Calibri" w:hAnsi="Calibri"/>
          <w:color w:val="auto"/>
          <w:sz w:val="22"/>
          <w:szCs w:val="22"/>
        </w:rPr>
        <w:t>e titulaire du marché</w:t>
      </w: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D’une façon générale, le</w:t>
      </w:r>
      <w:r w:rsidR="00FF2A53" w:rsidRPr="002769F6">
        <w:rPr>
          <w:rFonts w:ascii="Calibri" w:hAnsi="Calibri"/>
          <w:color w:val="auto"/>
          <w:sz w:val="22"/>
          <w:szCs w:val="22"/>
        </w:rPr>
        <w:t xml:space="preserve"> titulaire du marché </w:t>
      </w:r>
      <w:r w:rsidRPr="002769F6">
        <w:rPr>
          <w:rFonts w:ascii="Calibri" w:hAnsi="Calibri"/>
          <w:color w:val="auto"/>
          <w:sz w:val="22"/>
          <w:szCs w:val="22"/>
        </w:rPr>
        <w:t xml:space="preserve">est tenu d’assurer, sans interruption, la continuité de fourniture de l’énergie électrique.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Default="002769F6" w:rsidP="00AE4BA3">
      <w:pPr>
        <w:pStyle w:val="Default"/>
        <w:jc w:val="both"/>
        <w:rPr>
          <w:rFonts w:ascii="Calibri" w:hAnsi="Calibri" w:cs="Times New Roman"/>
          <w:color w:val="auto"/>
          <w:sz w:val="20"/>
          <w:szCs w:val="20"/>
        </w:rPr>
      </w:pPr>
      <w:r w:rsidRPr="002769F6">
        <w:rPr>
          <w:rFonts w:ascii="Calibri" w:hAnsi="Calibri"/>
          <w:color w:val="auto"/>
          <w:sz w:val="22"/>
          <w:szCs w:val="22"/>
        </w:rPr>
        <w:t>La no</w:t>
      </w:r>
      <w:r w:rsidR="00FF2A53" w:rsidRPr="002769F6">
        <w:rPr>
          <w:rFonts w:ascii="Calibri" w:hAnsi="Calibri"/>
          <w:color w:val="auto"/>
          <w:sz w:val="22"/>
          <w:szCs w:val="22"/>
        </w:rPr>
        <w:t xml:space="preserve">tification du marché </w:t>
      </w:r>
      <w:r w:rsidRPr="002769F6">
        <w:rPr>
          <w:rFonts w:ascii="Calibri" w:hAnsi="Calibri"/>
          <w:color w:val="auto"/>
          <w:sz w:val="22"/>
          <w:szCs w:val="22"/>
        </w:rPr>
        <w:t xml:space="preserve">vaut ordre de service pour les </w:t>
      </w:r>
      <w:r w:rsidR="008C3DB6">
        <w:rPr>
          <w:rFonts w:ascii="Calibri" w:hAnsi="Calibri"/>
          <w:color w:val="auto"/>
          <w:sz w:val="22"/>
          <w:szCs w:val="22"/>
        </w:rPr>
        <w:t>Points de Livraison (PdL)</w:t>
      </w:r>
      <w:r w:rsidRPr="002769F6">
        <w:rPr>
          <w:rFonts w:ascii="Calibri" w:hAnsi="Calibri"/>
          <w:color w:val="auto"/>
          <w:sz w:val="22"/>
          <w:szCs w:val="22"/>
        </w:rPr>
        <w:t xml:space="preserve"> indiqué</w:t>
      </w:r>
      <w:r w:rsidR="00FF2A53" w:rsidRPr="002769F6">
        <w:rPr>
          <w:rFonts w:ascii="Calibri" w:hAnsi="Calibri"/>
          <w:color w:val="auto"/>
          <w:sz w:val="22"/>
          <w:szCs w:val="22"/>
        </w:rPr>
        <w:t>s en annexe du marché</w:t>
      </w:r>
      <w:r w:rsidRPr="002769F6">
        <w:rPr>
          <w:rFonts w:ascii="Calibri" w:hAnsi="Calibri"/>
          <w:color w:val="auto"/>
          <w:sz w:val="22"/>
          <w:szCs w:val="22"/>
        </w:rPr>
        <w:t xml:space="preserve">. </w:t>
      </w:r>
      <w:r w:rsidRPr="002769F6">
        <w:rPr>
          <w:rFonts w:ascii="Calibri" w:hAnsi="Calibri" w:cs="Times New Roman"/>
          <w:color w:val="auto"/>
          <w:sz w:val="20"/>
          <w:szCs w:val="20"/>
        </w:rPr>
        <w:t xml:space="preserve"> </w:t>
      </w:r>
    </w:p>
    <w:p w:rsidR="009C08D0" w:rsidRPr="002769F6" w:rsidRDefault="009C08D0" w:rsidP="00AE4BA3">
      <w:pPr>
        <w:pStyle w:val="Default"/>
        <w:jc w:val="both"/>
        <w:rPr>
          <w:rFonts w:ascii="Calibri" w:hAnsi="Calibri" w:cs="Times New Roman"/>
          <w:color w:val="auto"/>
          <w:sz w:val="20"/>
          <w:szCs w:val="20"/>
        </w:rPr>
      </w:pPr>
    </w:p>
    <w:p w:rsidR="002769F6" w:rsidRPr="00CA3640" w:rsidRDefault="00B05F02" w:rsidP="00CA3640">
      <w:pPr>
        <w:pStyle w:val="Titre2"/>
        <w:rPr>
          <w:color w:val="808080" w:themeColor="accent4"/>
        </w:rPr>
      </w:pPr>
      <w:bookmarkStart w:id="12" w:name="_Toc434355928"/>
      <w:r w:rsidRPr="00CA3640">
        <w:rPr>
          <w:color w:val="808080" w:themeColor="accent4"/>
        </w:rPr>
        <w:t>3</w:t>
      </w:r>
      <w:r w:rsidR="00CA3640" w:rsidRPr="00CA3640">
        <w:rPr>
          <w:color w:val="808080" w:themeColor="accent4"/>
        </w:rPr>
        <w:t>.3</w:t>
      </w:r>
      <w:r w:rsidR="00041562">
        <w:rPr>
          <w:color w:val="808080" w:themeColor="accent4"/>
        </w:rPr>
        <w:t>.</w:t>
      </w:r>
      <w:r w:rsidR="00CA3640" w:rsidRPr="00CA3640">
        <w:rPr>
          <w:color w:val="808080" w:themeColor="accent4"/>
        </w:rPr>
        <w:t xml:space="preserve"> </w:t>
      </w:r>
      <w:r w:rsidR="002769F6" w:rsidRPr="00CA3640">
        <w:rPr>
          <w:color w:val="808080" w:themeColor="accent4"/>
        </w:rPr>
        <w:t>Livraison</w:t>
      </w:r>
      <w:bookmarkEnd w:id="12"/>
      <w:r w:rsidR="002769F6" w:rsidRPr="00CA3640">
        <w:rPr>
          <w:color w:val="808080" w:themeColor="accent4"/>
        </w:rPr>
        <w:t xml:space="preserve">  </w:t>
      </w:r>
    </w:p>
    <w:p w:rsidR="002769F6" w:rsidRPr="002769F6" w:rsidRDefault="002769F6" w:rsidP="00AE4BA3">
      <w:pPr>
        <w:pStyle w:val="Default"/>
        <w:jc w:val="both"/>
        <w:rPr>
          <w:rFonts w:ascii="Calibri" w:hAnsi="Calibri" w:cs="Times New Roman"/>
          <w:color w:val="auto"/>
          <w:sz w:val="20"/>
          <w:szCs w:val="20"/>
        </w:rPr>
      </w:pPr>
      <w:r w:rsidRPr="002769F6">
        <w:rPr>
          <w:rFonts w:ascii="Calibri" w:hAnsi="Calibri" w:cs="Times New Roman"/>
          <w:color w:val="auto"/>
          <w:sz w:val="20"/>
          <w:szCs w:val="20"/>
        </w:rPr>
        <w:t xml:space="preserve"> </w:t>
      </w:r>
    </w:p>
    <w:p w:rsid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titulaire du marché s’engage à fournir et faire acheminer, en continu et en fonction de la demande, l’énergie électrique active aux </w:t>
      </w:r>
      <w:r w:rsidR="008C3DB6">
        <w:rPr>
          <w:rFonts w:ascii="Calibri" w:hAnsi="Calibri"/>
          <w:color w:val="auto"/>
          <w:sz w:val="22"/>
          <w:szCs w:val="22"/>
        </w:rPr>
        <w:t>Points de Livraison (PdL)</w:t>
      </w:r>
      <w:r w:rsidR="009260A7" w:rsidRPr="002769F6">
        <w:rPr>
          <w:rFonts w:ascii="Calibri" w:hAnsi="Calibri"/>
          <w:color w:val="auto"/>
          <w:sz w:val="22"/>
          <w:szCs w:val="22"/>
        </w:rPr>
        <w:t xml:space="preserve"> </w:t>
      </w:r>
      <w:r w:rsidRPr="002769F6">
        <w:rPr>
          <w:rFonts w:ascii="Calibri" w:hAnsi="Calibri"/>
          <w:color w:val="auto"/>
          <w:sz w:val="22"/>
          <w:szCs w:val="22"/>
        </w:rPr>
        <w:t>d</w:t>
      </w:r>
      <w:r w:rsidR="00DC697D">
        <w:rPr>
          <w:rFonts w:ascii="Calibri" w:hAnsi="Calibri"/>
          <w:color w:val="auto"/>
          <w:sz w:val="22"/>
          <w:szCs w:val="22"/>
        </w:rPr>
        <w:t xml:space="preserve">e la mairie de </w:t>
      </w:r>
      <w:r w:rsidR="00A90672">
        <w:rPr>
          <w:rFonts w:ascii="Calibri" w:hAnsi="Calibri"/>
          <w:color w:val="auto"/>
          <w:sz w:val="22"/>
          <w:szCs w:val="22"/>
        </w:rPr>
        <w:t>Gouesnou</w:t>
      </w:r>
      <w:r w:rsidRPr="002769F6">
        <w:rPr>
          <w:rFonts w:ascii="Calibri" w:hAnsi="Calibri"/>
          <w:color w:val="auto"/>
          <w:sz w:val="22"/>
          <w:szCs w:val="22"/>
        </w:rPr>
        <w:t xml:space="preserve">, au sens strict de ce terme. La mise en place du marché ne devra occasionner aucune rupture de l’alimentation en électricité. </w:t>
      </w:r>
    </w:p>
    <w:p w:rsidR="00CA3640" w:rsidRPr="002769F6" w:rsidRDefault="00CA3640" w:rsidP="00AE4BA3">
      <w:pPr>
        <w:pStyle w:val="Default"/>
        <w:jc w:val="both"/>
        <w:rPr>
          <w:rFonts w:ascii="Calibri" w:hAnsi="Calibri"/>
          <w:color w:val="auto"/>
          <w:sz w:val="22"/>
          <w:szCs w:val="22"/>
        </w:rPr>
      </w:pPr>
    </w:p>
    <w:p w:rsidR="002769F6" w:rsidRPr="00CA3640" w:rsidRDefault="002769F6" w:rsidP="00CA3640">
      <w:pPr>
        <w:pStyle w:val="Titre2"/>
        <w:rPr>
          <w:color w:val="808080" w:themeColor="accent4"/>
        </w:rPr>
      </w:pPr>
      <w:r w:rsidRPr="002769F6">
        <w:rPr>
          <w:sz w:val="22"/>
          <w:szCs w:val="22"/>
        </w:rPr>
        <w:t xml:space="preserve"> </w:t>
      </w:r>
      <w:bookmarkStart w:id="13" w:name="_Toc434355929"/>
      <w:r w:rsidR="00B05F02" w:rsidRPr="00CA3640">
        <w:rPr>
          <w:color w:val="808080" w:themeColor="accent4"/>
        </w:rPr>
        <w:t>3</w:t>
      </w:r>
      <w:r w:rsidRPr="00CA3640">
        <w:rPr>
          <w:color w:val="808080" w:themeColor="accent4"/>
        </w:rPr>
        <w:t>.</w:t>
      </w:r>
      <w:r w:rsidR="00CA3640" w:rsidRPr="00CA3640">
        <w:rPr>
          <w:color w:val="808080" w:themeColor="accent4"/>
        </w:rPr>
        <w:t xml:space="preserve">4. </w:t>
      </w:r>
      <w:r w:rsidRPr="00CA3640">
        <w:rPr>
          <w:color w:val="808080" w:themeColor="accent4"/>
        </w:rPr>
        <w:t>Rattachement d’un Point de Livraison (P</w:t>
      </w:r>
      <w:r w:rsidR="00AF2D3D" w:rsidRPr="00CA3640">
        <w:rPr>
          <w:color w:val="808080" w:themeColor="accent4"/>
        </w:rPr>
        <w:t>d</w:t>
      </w:r>
      <w:r w:rsidRPr="00CA3640">
        <w:rPr>
          <w:color w:val="808080" w:themeColor="accent4"/>
        </w:rPr>
        <w:t>L)</w:t>
      </w:r>
      <w:bookmarkEnd w:id="13"/>
      <w:r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FF2A53" w:rsidP="00AE4BA3">
      <w:pPr>
        <w:pStyle w:val="Default"/>
        <w:jc w:val="both"/>
        <w:rPr>
          <w:rFonts w:ascii="Calibri" w:hAnsi="Calibri"/>
          <w:color w:val="auto"/>
          <w:sz w:val="22"/>
          <w:szCs w:val="22"/>
        </w:rPr>
      </w:pPr>
      <w:r w:rsidRPr="002769F6">
        <w:rPr>
          <w:rFonts w:ascii="Calibri" w:hAnsi="Calibri"/>
          <w:color w:val="auto"/>
          <w:sz w:val="22"/>
          <w:szCs w:val="22"/>
        </w:rPr>
        <w:t>En cours d’exécution du marché</w:t>
      </w:r>
      <w:r w:rsidR="002769F6" w:rsidRPr="002769F6">
        <w:rPr>
          <w:rFonts w:ascii="Calibri" w:hAnsi="Calibri"/>
          <w:color w:val="auto"/>
          <w:sz w:val="22"/>
          <w:szCs w:val="22"/>
        </w:rPr>
        <w:t xml:space="preserve">, et dans la limite de la tolérance sur les quantités prévisionnelles </w:t>
      </w:r>
      <w:r w:rsidR="002769F6" w:rsidRPr="002769F6">
        <w:rPr>
          <w:rFonts w:ascii="Calibri" w:hAnsi="Calibri"/>
          <w:color w:val="auto"/>
          <w:sz w:val="22"/>
          <w:szCs w:val="22"/>
        </w:rPr>
        <w:lastRenderedPageBreak/>
        <w:t>indiquée par les candidats dans leur not</w:t>
      </w:r>
      <w:r w:rsidR="007E0CBB">
        <w:rPr>
          <w:rFonts w:ascii="Calibri" w:hAnsi="Calibri"/>
          <w:color w:val="auto"/>
          <w:sz w:val="22"/>
          <w:szCs w:val="22"/>
        </w:rPr>
        <w:t>e méthodologique</w:t>
      </w:r>
      <w:r w:rsidR="002769F6" w:rsidRPr="002769F6">
        <w:rPr>
          <w:rFonts w:ascii="Calibri" w:hAnsi="Calibri"/>
          <w:color w:val="auto"/>
          <w:sz w:val="22"/>
          <w:szCs w:val="22"/>
        </w:rPr>
        <w:t xml:space="preserve">, des </w:t>
      </w:r>
      <w:r w:rsidR="008C3DB6">
        <w:rPr>
          <w:rFonts w:ascii="Calibri" w:hAnsi="Calibri"/>
          <w:color w:val="auto"/>
          <w:sz w:val="22"/>
          <w:szCs w:val="22"/>
        </w:rPr>
        <w:t>Points de Livraison (PdL)</w:t>
      </w:r>
      <w:r w:rsidR="002769F6" w:rsidRPr="002769F6">
        <w:rPr>
          <w:rFonts w:ascii="Calibri" w:hAnsi="Calibri"/>
          <w:color w:val="auto"/>
          <w:sz w:val="22"/>
          <w:szCs w:val="22"/>
        </w:rPr>
        <w:t xml:space="preserve"> et/ou des branchements provisoires relatifs à l’organisation d’évènementiels peuvent faire l’objet d’un rattachement. A titre indicatif, ce rattachement peut notamment survenir à la faveur de la mise en service d’un nouveau site, l’organisation de manifestations évènementielles, etc.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B05F02" w:rsidP="00CA3640">
      <w:pPr>
        <w:pStyle w:val="Titre2"/>
        <w:rPr>
          <w:color w:val="808080" w:themeColor="accent4"/>
        </w:rPr>
      </w:pPr>
      <w:bookmarkStart w:id="14" w:name="_Toc434355930"/>
      <w:r w:rsidRPr="00CA3640">
        <w:rPr>
          <w:color w:val="808080" w:themeColor="accent4"/>
        </w:rPr>
        <w:t>3</w:t>
      </w:r>
      <w:r w:rsidR="00CA3640" w:rsidRPr="00CA3640">
        <w:rPr>
          <w:color w:val="808080" w:themeColor="accent4"/>
        </w:rPr>
        <w:t xml:space="preserve">.5. </w:t>
      </w:r>
      <w:r w:rsidR="002769F6" w:rsidRPr="00CA3640">
        <w:rPr>
          <w:color w:val="808080" w:themeColor="accent4"/>
        </w:rPr>
        <w:t>Détachement d’un Point de Livraison (P</w:t>
      </w:r>
      <w:r w:rsidR="00AF2D3D" w:rsidRPr="00CA3640">
        <w:rPr>
          <w:color w:val="808080" w:themeColor="accent4"/>
        </w:rPr>
        <w:t>d</w:t>
      </w:r>
      <w:r w:rsidR="002769F6" w:rsidRPr="00CA3640">
        <w:rPr>
          <w:color w:val="808080" w:themeColor="accent4"/>
        </w:rPr>
        <w:t>L)</w:t>
      </w:r>
      <w:bookmarkEnd w:id="14"/>
      <w:r w:rsidR="002769F6"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En c</w:t>
      </w:r>
      <w:r w:rsidR="00CA3640">
        <w:rPr>
          <w:rFonts w:ascii="Calibri" w:hAnsi="Calibri"/>
          <w:color w:val="auto"/>
          <w:sz w:val="22"/>
          <w:szCs w:val="22"/>
        </w:rPr>
        <w:t xml:space="preserve">ours d’exécution du marché, </w:t>
      </w:r>
      <w:r w:rsidR="00CA3640" w:rsidRPr="002769F6">
        <w:rPr>
          <w:rFonts w:ascii="Calibri" w:hAnsi="Calibri"/>
          <w:color w:val="auto"/>
          <w:sz w:val="22"/>
          <w:szCs w:val="22"/>
        </w:rPr>
        <w:t xml:space="preserve">des </w:t>
      </w:r>
      <w:r w:rsidR="008C3DB6">
        <w:rPr>
          <w:rFonts w:ascii="Calibri" w:hAnsi="Calibri"/>
          <w:color w:val="auto"/>
          <w:sz w:val="22"/>
          <w:szCs w:val="22"/>
        </w:rPr>
        <w:t>Points de Livraison (PdL)</w:t>
      </w:r>
      <w:r w:rsidR="009260A7" w:rsidRPr="002769F6">
        <w:rPr>
          <w:rFonts w:ascii="Calibri" w:hAnsi="Calibri"/>
          <w:color w:val="auto"/>
          <w:sz w:val="22"/>
          <w:szCs w:val="22"/>
        </w:rPr>
        <w:t xml:space="preserve"> </w:t>
      </w:r>
      <w:r w:rsidRPr="002769F6">
        <w:rPr>
          <w:rFonts w:ascii="Calibri" w:hAnsi="Calibri"/>
          <w:color w:val="auto"/>
          <w:sz w:val="22"/>
          <w:szCs w:val="22"/>
        </w:rPr>
        <w:t xml:space="preserve">et/ou des branchements provisoires  relatifs à l’organisation d’évènementiels peuvent faire l’objet d’un détachement dans la limite de la tolérance sur les quantités prévisionnelles indiquée par les candidats dans leur note méthodologique. A titre indicatif, ce détachement peut notamment survenir pour un motif légitime au sens du Contrat d’Acheminement sur le Réseau de Distribution (CARD), à la faveur par exemple d’un changement définitif d’énergie, d’une cessation définitive d’activité sur le site, de la fin d’une manifestation évènementielle, etc.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CA3640" w:rsidRDefault="00B05F02" w:rsidP="00CA3640">
      <w:pPr>
        <w:pStyle w:val="Titre2"/>
        <w:rPr>
          <w:color w:val="808080" w:themeColor="accent4"/>
        </w:rPr>
      </w:pPr>
      <w:bookmarkStart w:id="15" w:name="_Toc434355931"/>
      <w:r w:rsidRPr="00CA3640">
        <w:rPr>
          <w:color w:val="808080" w:themeColor="accent4"/>
        </w:rPr>
        <w:t>3</w:t>
      </w:r>
      <w:r w:rsidR="00CA3640" w:rsidRPr="00CA3640">
        <w:rPr>
          <w:color w:val="808080" w:themeColor="accent4"/>
        </w:rPr>
        <w:t xml:space="preserve">.6. </w:t>
      </w:r>
      <w:r w:rsidR="002769F6" w:rsidRPr="00CA3640">
        <w:rPr>
          <w:color w:val="808080" w:themeColor="accent4"/>
        </w:rPr>
        <w:t>Relation avec ERDF</w:t>
      </w:r>
      <w:bookmarkEnd w:id="15"/>
      <w:r w:rsidR="002769F6" w:rsidRPr="00CA364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La fourniture d’électricité s'entend en "contrat unique" comprenant l'accès et l'utilisation du réseau public de distribution géré par ERDF et incluant la fonction de responsable d'équilibre.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7E0CBB" w:rsidP="00AE4BA3">
      <w:pPr>
        <w:pStyle w:val="Default"/>
        <w:jc w:val="both"/>
        <w:rPr>
          <w:rFonts w:ascii="Calibri" w:hAnsi="Calibri"/>
          <w:color w:val="auto"/>
          <w:sz w:val="22"/>
          <w:szCs w:val="22"/>
        </w:rPr>
      </w:pPr>
      <w:r>
        <w:rPr>
          <w:rFonts w:ascii="Calibri" w:hAnsi="Calibri"/>
          <w:color w:val="auto"/>
          <w:sz w:val="22"/>
          <w:szCs w:val="22"/>
        </w:rPr>
        <w:t>Le titulaire du marché respecte</w:t>
      </w:r>
      <w:r w:rsidR="002769F6" w:rsidRPr="002769F6">
        <w:rPr>
          <w:rFonts w:ascii="Calibri" w:hAnsi="Calibri"/>
          <w:color w:val="auto"/>
          <w:sz w:val="22"/>
          <w:szCs w:val="22"/>
        </w:rPr>
        <w:t xml:space="preserve"> les dispositions du contrat GRD-Fournisseur régissant l'accès aux réseaux publics de distribution, à son utilisation et à l’échange de données pour les points de connexion pour lesquels a été souscrit un Contrat Unique.  D’autre part,  les  prix  mentionnés  au  Catalogue  des  Prestations  ERDF  sont  facturés  sans  marge  aux membres.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présent marché intégrant les services liés à l’accès au réseau public de distribution et à l’utilisation de ce réseau (contrat unique), la personne publique bénéficie toutefois de la possibilité de se prévaloir d’un droit direct à l’encontre du Gestionnaire du Réseau de Distribution (GRD) pour les engagements contenus dans le contrat GRD-Fournisseur conclu entre le GRD et le titulaire du marché.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7B5E03" w:rsidRDefault="002769F6" w:rsidP="007B5E03">
      <w:pPr>
        <w:pStyle w:val="Titre1"/>
        <w:rPr>
          <w:color w:val="auto"/>
        </w:rPr>
      </w:pPr>
      <w:bookmarkStart w:id="16" w:name="_Toc434355932"/>
      <w:r w:rsidRPr="007B5E03">
        <w:rPr>
          <w:color w:val="auto"/>
        </w:rPr>
        <w:t xml:space="preserve">ARTICLE </w:t>
      </w:r>
      <w:r w:rsidR="00B05F02" w:rsidRPr="007B5E03">
        <w:rPr>
          <w:color w:val="auto"/>
        </w:rPr>
        <w:t>4</w:t>
      </w:r>
      <w:r w:rsidRPr="007B5E03">
        <w:rPr>
          <w:color w:val="auto"/>
        </w:rPr>
        <w:t xml:space="preserve"> : PRIX</w:t>
      </w:r>
      <w:bookmarkEnd w:id="16"/>
      <w:r w:rsidRPr="007B5E03">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w:t>
      </w:r>
      <w:r w:rsidR="00DC697D">
        <w:rPr>
          <w:rFonts w:ascii="Calibri" w:hAnsi="Calibri"/>
          <w:color w:val="auto"/>
          <w:sz w:val="22"/>
          <w:szCs w:val="22"/>
        </w:rPr>
        <w:t xml:space="preserve">a mairie de </w:t>
      </w:r>
      <w:r w:rsidR="00A90672">
        <w:rPr>
          <w:rFonts w:ascii="Calibri" w:hAnsi="Calibri"/>
          <w:sz w:val="22"/>
        </w:rPr>
        <w:t>Gouesnou</w:t>
      </w:r>
      <w:r w:rsidR="00F17EA4">
        <w:rPr>
          <w:rFonts w:ascii="Calibri" w:hAnsi="Calibri"/>
          <w:sz w:val="22"/>
        </w:rPr>
        <w:t xml:space="preserve"> </w:t>
      </w:r>
      <w:r w:rsidRPr="002769F6">
        <w:rPr>
          <w:rFonts w:ascii="Calibri" w:hAnsi="Calibri"/>
          <w:color w:val="auto"/>
          <w:sz w:val="22"/>
          <w:szCs w:val="22"/>
        </w:rPr>
        <w:t xml:space="preserve">souhaite un prix 100% en offre de marché, sans indexation sur l’ARENH pour une durée ferme de 36 </w:t>
      </w:r>
      <w:r w:rsidRPr="00C65E4D">
        <w:rPr>
          <w:rFonts w:ascii="Calibri" w:hAnsi="Calibri"/>
          <w:color w:val="auto"/>
          <w:sz w:val="22"/>
          <w:szCs w:val="22"/>
        </w:rPr>
        <w:t>mois (du 1er janvier 2016 à 00h00:00 au 31 décembre 2018 à 23h59:59).</w:t>
      </w:r>
      <w:r w:rsidRPr="002769F6">
        <w:rPr>
          <w:rFonts w:ascii="Calibri" w:hAnsi="Calibri"/>
          <w:color w:val="auto"/>
          <w:sz w:val="22"/>
          <w:szCs w:val="22"/>
        </w:rPr>
        <w:t xml:space="preserve"> </w:t>
      </w:r>
    </w:p>
    <w:p w:rsidR="00333A70" w:rsidRDefault="00333A70" w:rsidP="00AE4BA3">
      <w:pPr>
        <w:pStyle w:val="Default"/>
        <w:jc w:val="both"/>
        <w:rPr>
          <w:rFonts w:ascii="Calibri" w:hAnsi="Calibri"/>
          <w:color w:val="auto"/>
          <w:sz w:val="22"/>
          <w:szCs w:val="22"/>
        </w:rPr>
      </w:pPr>
    </w:p>
    <w:p w:rsidR="008C0359" w:rsidRDefault="002769F6" w:rsidP="0073088E">
      <w:pPr>
        <w:pStyle w:val="Default"/>
        <w:jc w:val="both"/>
        <w:rPr>
          <w:rFonts w:ascii="Calibri" w:hAnsi="Calibri"/>
          <w:color w:val="auto"/>
          <w:sz w:val="22"/>
          <w:szCs w:val="22"/>
        </w:rPr>
      </w:pPr>
      <w:r w:rsidRPr="002769F6">
        <w:rPr>
          <w:rFonts w:ascii="Calibri" w:hAnsi="Calibri"/>
          <w:color w:val="auto"/>
          <w:sz w:val="22"/>
          <w:szCs w:val="22"/>
        </w:rPr>
        <w:t>Afin d’avoir une estimation globale du montant de la facturation pour l’ensemble des sites, les prix indiqués dans le Bordereau des Prix Unitaires et dans le Devis Quantitatif Estimatif comprennent l’ensemble des éléments constit</w:t>
      </w:r>
      <w:r w:rsidR="00A1622A">
        <w:rPr>
          <w:rFonts w:ascii="Calibri" w:hAnsi="Calibri"/>
          <w:color w:val="auto"/>
          <w:sz w:val="22"/>
          <w:szCs w:val="22"/>
        </w:rPr>
        <w:t>utifs de la facture, à savoir pour</w:t>
      </w:r>
      <w:r w:rsidR="008C0359">
        <w:rPr>
          <w:rFonts w:ascii="Calibri" w:hAnsi="Calibri"/>
          <w:color w:val="auto"/>
          <w:sz w:val="22"/>
          <w:szCs w:val="22"/>
        </w:rPr>
        <w:t> </w:t>
      </w:r>
      <w:r w:rsidR="001450BC">
        <w:rPr>
          <w:rFonts w:ascii="Calibri" w:hAnsi="Calibri"/>
          <w:color w:val="auto"/>
          <w:sz w:val="22"/>
          <w:szCs w:val="22"/>
        </w:rPr>
        <w:t xml:space="preserve">les </w:t>
      </w:r>
      <w:r w:rsidR="008C0359">
        <w:rPr>
          <w:rFonts w:ascii="Calibri" w:hAnsi="Calibri"/>
          <w:color w:val="auto"/>
          <w:sz w:val="22"/>
          <w:szCs w:val="22"/>
        </w:rPr>
        <w:t>:</w:t>
      </w:r>
    </w:p>
    <w:p w:rsidR="008C0359" w:rsidRDefault="008C0359" w:rsidP="0073088E">
      <w:pPr>
        <w:pStyle w:val="Default"/>
        <w:jc w:val="both"/>
        <w:rPr>
          <w:rFonts w:ascii="Calibri" w:hAnsi="Calibri"/>
          <w:color w:val="auto"/>
          <w:sz w:val="22"/>
          <w:szCs w:val="22"/>
        </w:rPr>
      </w:pPr>
    </w:p>
    <w:p w:rsidR="002769F6" w:rsidRPr="001450BC" w:rsidRDefault="002769F6" w:rsidP="001450BC">
      <w:pPr>
        <w:pStyle w:val="Default"/>
        <w:numPr>
          <w:ilvl w:val="0"/>
          <w:numId w:val="24"/>
        </w:numPr>
        <w:jc w:val="both"/>
        <w:rPr>
          <w:rFonts w:ascii="Calibri" w:hAnsi="Calibri"/>
          <w:i/>
          <w:color w:val="auto"/>
          <w:sz w:val="22"/>
          <w:szCs w:val="22"/>
          <w:u w:val="single"/>
        </w:rPr>
      </w:pPr>
      <w:r w:rsidRPr="001450BC">
        <w:rPr>
          <w:rFonts w:ascii="Calibri" w:hAnsi="Calibri"/>
          <w:i/>
          <w:color w:val="auto"/>
          <w:sz w:val="22"/>
          <w:szCs w:val="22"/>
          <w:u w:val="single"/>
        </w:rPr>
        <w:t xml:space="preserve">Points de </w:t>
      </w:r>
      <w:r w:rsidR="00A1622A" w:rsidRPr="001450BC">
        <w:rPr>
          <w:rFonts w:ascii="Calibri" w:hAnsi="Calibri"/>
          <w:i/>
          <w:color w:val="auto"/>
          <w:sz w:val="22"/>
          <w:szCs w:val="22"/>
          <w:u w:val="single"/>
        </w:rPr>
        <w:t>L</w:t>
      </w:r>
      <w:r w:rsidRPr="001450BC">
        <w:rPr>
          <w:rFonts w:ascii="Calibri" w:hAnsi="Calibri"/>
          <w:i/>
          <w:color w:val="auto"/>
          <w:sz w:val="22"/>
          <w:szCs w:val="22"/>
          <w:u w:val="single"/>
        </w:rPr>
        <w:t xml:space="preserve">ivraison </w:t>
      </w:r>
      <w:r w:rsidR="00A1622A" w:rsidRPr="001450BC">
        <w:rPr>
          <w:rFonts w:ascii="Calibri" w:hAnsi="Calibri"/>
          <w:i/>
          <w:color w:val="auto"/>
          <w:sz w:val="22"/>
          <w:szCs w:val="22"/>
          <w:u w:val="single"/>
        </w:rPr>
        <w:t xml:space="preserve">(PdL) </w:t>
      </w:r>
      <w:r w:rsidRPr="001450BC">
        <w:rPr>
          <w:rFonts w:ascii="Calibri" w:hAnsi="Calibri"/>
          <w:i/>
          <w:color w:val="auto"/>
          <w:sz w:val="22"/>
          <w:szCs w:val="22"/>
          <w:u w:val="single"/>
        </w:rPr>
        <w:t>Basse Tension ≤ 36kVA</w:t>
      </w:r>
      <w:r w:rsidR="007E0CBB" w:rsidRPr="001450BC">
        <w:rPr>
          <w:rFonts w:ascii="Calibri" w:hAnsi="Calibri"/>
          <w:i/>
          <w:color w:val="auto"/>
          <w:sz w:val="22"/>
          <w:szCs w:val="22"/>
          <w:u w:val="single"/>
        </w:rPr>
        <w:t xml:space="preserve"> </w:t>
      </w:r>
    </w:p>
    <w:p w:rsidR="001450BC" w:rsidRPr="002769F6" w:rsidRDefault="001450BC" w:rsidP="0073088E">
      <w:pPr>
        <w:pStyle w:val="Default"/>
        <w:jc w:val="both"/>
        <w:rPr>
          <w:rFonts w:ascii="Calibri" w:hAnsi="Calibri"/>
          <w:color w:val="auto"/>
          <w:sz w:val="22"/>
          <w:szCs w:val="22"/>
        </w:rPr>
      </w:pPr>
    </w:p>
    <w:p w:rsidR="00C55639" w:rsidRDefault="00DC130C" w:rsidP="00C55639">
      <w:pPr>
        <w:pStyle w:val="Default"/>
        <w:numPr>
          <w:ilvl w:val="0"/>
          <w:numId w:val="22"/>
        </w:numPr>
        <w:jc w:val="both"/>
        <w:rPr>
          <w:rFonts w:ascii="Calibri" w:hAnsi="Calibri"/>
          <w:color w:val="auto"/>
          <w:sz w:val="22"/>
          <w:szCs w:val="22"/>
        </w:rPr>
      </w:pPr>
      <w:r>
        <w:rPr>
          <w:rFonts w:ascii="Calibri" w:hAnsi="Calibri"/>
          <w:color w:val="auto"/>
          <w:sz w:val="22"/>
          <w:szCs w:val="22"/>
        </w:rPr>
        <w:t>u</w:t>
      </w:r>
      <w:r w:rsidR="002769F6" w:rsidRPr="002769F6">
        <w:rPr>
          <w:rFonts w:ascii="Calibri" w:hAnsi="Calibri"/>
          <w:color w:val="auto"/>
          <w:sz w:val="22"/>
          <w:szCs w:val="22"/>
        </w:rPr>
        <w:t xml:space="preserve">n abonnement annuel (le prix de cet abonnement pourra être nul), </w:t>
      </w:r>
    </w:p>
    <w:p w:rsidR="00C55639" w:rsidRDefault="00DC130C" w:rsidP="00C55639">
      <w:pPr>
        <w:pStyle w:val="Default"/>
        <w:numPr>
          <w:ilvl w:val="0"/>
          <w:numId w:val="22"/>
        </w:numPr>
        <w:jc w:val="both"/>
        <w:rPr>
          <w:rFonts w:ascii="Calibri" w:hAnsi="Calibri"/>
          <w:color w:val="auto"/>
          <w:sz w:val="22"/>
          <w:szCs w:val="22"/>
        </w:rPr>
      </w:pPr>
      <w:r w:rsidRPr="00C55639">
        <w:rPr>
          <w:rFonts w:ascii="Calibri" w:hAnsi="Calibri"/>
          <w:color w:val="auto"/>
          <w:sz w:val="22"/>
          <w:szCs w:val="22"/>
        </w:rPr>
        <w:t>l</w:t>
      </w:r>
      <w:r w:rsidR="002769F6" w:rsidRPr="00C55639">
        <w:rPr>
          <w:rFonts w:ascii="Calibri" w:hAnsi="Calibri"/>
          <w:color w:val="auto"/>
          <w:sz w:val="22"/>
          <w:szCs w:val="22"/>
        </w:rPr>
        <w:t>a part fourniture de l’énergie. Le prix intègrera le coût proportionnel au soutirage physique payé au RTE. Ce coût, actuellement de 0,15 €/MWh, suivra les évolutions de la réglementation</w:t>
      </w:r>
      <w:r w:rsidR="00576A43" w:rsidRPr="00C55639">
        <w:rPr>
          <w:rFonts w:ascii="Calibri" w:hAnsi="Calibri"/>
          <w:color w:val="auto"/>
          <w:sz w:val="22"/>
          <w:szCs w:val="22"/>
        </w:rPr>
        <w:t xml:space="preserve"> et le </w:t>
      </w:r>
      <w:r w:rsidR="00576A43" w:rsidRPr="00C55639">
        <w:rPr>
          <w:rFonts w:ascii="Calibri" w:hAnsi="Calibri"/>
          <w:color w:val="auto"/>
          <w:sz w:val="22"/>
          <w:szCs w:val="22"/>
        </w:rPr>
        <w:lastRenderedPageBreak/>
        <w:t>coût des CEE</w:t>
      </w:r>
      <w:r w:rsidR="00DC697D" w:rsidRPr="00C55639">
        <w:rPr>
          <w:rFonts w:ascii="Calibri" w:hAnsi="Calibri"/>
          <w:color w:val="auto"/>
          <w:sz w:val="22"/>
          <w:szCs w:val="22"/>
        </w:rPr>
        <w:t>. Le coû</w:t>
      </w:r>
      <w:r w:rsidR="002769F6" w:rsidRPr="00C55639">
        <w:rPr>
          <w:rFonts w:ascii="Calibri" w:hAnsi="Calibri"/>
          <w:color w:val="auto"/>
          <w:sz w:val="22"/>
          <w:szCs w:val="22"/>
        </w:rPr>
        <w:t>t de</w:t>
      </w:r>
      <w:r w:rsidR="00DC697D" w:rsidRPr="00C55639">
        <w:rPr>
          <w:rFonts w:ascii="Calibri" w:hAnsi="Calibri"/>
          <w:color w:val="auto"/>
          <w:sz w:val="22"/>
          <w:szCs w:val="22"/>
        </w:rPr>
        <w:t xml:space="preserve"> fourniture n’intègre pas le coû</w:t>
      </w:r>
      <w:r w:rsidR="002769F6" w:rsidRPr="00C55639">
        <w:rPr>
          <w:rFonts w:ascii="Calibri" w:hAnsi="Calibri"/>
          <w:color w:val="auto"/>
          <w:sz w:val="22"/>
          <w:szCs w:val="22"/>
        </w:rPr>
        <w:t xml:space="preserve">t de distribution,  </w:t>
      </w:r>
    </w:p>
    <w:p w:rsidR="00C55639" w:rsidRDefault="002769F6" w:rsidP="00C55639">
      <w:pPr>
        <w:pStyle w:val="Default"/>
        <w:numPr>
          <w:ilvl w:val="0"/>
          <w:numId w:val="22"/>
        </w:numPr>
        <w:jc w:val="both"/>
        <w:rPr>
          <w:rFonts w:ascii="Calibri" w:hAnsi="Calibri"/>
          <w:color w:val="auto"/>
          <w:sz w:val="22"/>
          <w:szCs w:val="22"/>
        </w:rPr>
      </w:pPr>
      <w:r w:rsidRPr="00C55639">
        <w:rPr>
          <w:rFonts w:ascii="Calibri" w:hAnsi="Calibri"/>
          <w:color w:val="auto"/>
          <w:sz w:val="22"/>
          <w:szCs w:val="22"/>
        </w:rPr>
        <w:t xml:space="preserve">la part distribution, y compris les frais de comptage, facturés selon le tarif TURPE, </w:t>
      </w:r>
    </w:p>
    <w:p w:rsidR="002769F6" w:rsidRPr="001450BC" w:rsidRDefault="002769F6" w:rsidP="00C55639">
      <w:pPr>
        <w:pStyle w:val="Default"/>
        <w:numPr>
          <w:ilvl w:val="0"/>
          <w:numId w:val="22"/>
        </w:numPr>
        <w:jc w:val="both"/>
        <w:rPr>
          <w:rFonts w:ascii="Calibri" w:hAnsi="Calibri"/>
          <w:color w:val="auto"/>
          <w:sz w:val="22"/>
          <w:szCs w:val="22"/>
        </w:rPr>
      </w:pPr>
      <w:r w:rsidRPr="00C55639">
        <w:rPr>
          <w:rFonts w:ascii="Calibri" w:hAnsi="Calibri"/>
          <w:color w:val="auto"/>
          <w:sz w:val="22"/>
          <w:szCs w:val="22"/>
        </w:rPr>
        <w:t>les taxes et contributi</w:t>
      </w:r>
      <w:r w:rsidR="00A1622A">
        <w:rPr>
          <w:rFonts w:ascii="Calibri" w:hAnsi="Calibri"/>
          <w:color w:val="auto"/>
          <w:sz w:val="22"/>
          <w:szCs w:val="22"/>
        </w:rPr>
        <w:t>ons (CTA, CSPE, TCFE) : c</w:t>
      </w:r>
      <w:r w:rsidRPr="00C55639">
        <w:rPr>
          <w:rFonts w:ascii="Calibri" w:hAnsi="Calibri"/>
          <w:color w:val="auto"/>
          <w:sz w:val="22"/>
          <w:szCs w:val="22"/>
        </w:rPr>
        <w:t xml:space="preserve">ette part sera estimée à partir de la souscription proposée </w:t>
      </w:r>
      <w:r w:rsidR="00A1622A">
        <w:rPr>
          <w:rFonts w:ascii="Calibri" w:hAnsi="Calibri"/>
          <w:color w:val="auto"/>
          <w:sz w:val="22"/>
          <w:szCs w:val="22"/>
        </w:rPr>
        <w:t>au DQE</w:t>
      </w:r>
      <w:r w:rsidR="00186A10" w:rsidRPr="00C55639">
        <w:rPr>
          <w:rFonts w:ascii="Calibri" w:hAnsi="Calibri"/>
          <w:color w:val="auto"/>
          <w:sz w:val="22"/>
          <w:szCs w:val="22"/>
        </w:rPr>
        <w:t>.</w:t>
      </w:r>
      <w:r w:rsidRPr="00C55639">
        <w:rPr>
          <w:rFonts w:ascii="Calibri" w:hAnsi="Calibri"/>
          <w:color w:val="FF0000"/>
          <w:sz w:val="22"/>
          <w:szCs w:val="22"/>
        </w:rPr>
        <w:t xml:space="preserve">  </w:t>
      </w:r>
    </w:p>
    <w:p w:rsidR="001450BC" w:rsidRDefault="001450BC" w:rsidP="001450BC">
      <w:pPr>
        <w:pStyle w:val="Default"/>
        <w:jc w:val="both"/>
        <w:rPr>
          <w:rFonts w:ascii="Calibri" w:hAnsi="Calibri"/>
          <w:color w:val="FF0000"/>
          <w:sz w:val="22"/>
          <w:szCs w:val="22"/>
        </w:rPr>
      </w:pPr>
    </w:p>
    <w:p w:rsidR="001450BC" w:rsidRDefault="001450BC" w:rsidP="001450BC">
      <w:pPr>
        <w:pStyle w:val="Default"/>
        <w:jc w:val="both"/>
        <w:rPr>
          <w:rFonts w:ascii="Calibri" w:hAnsi="Calibri"/>
          <w:color w:val="auto"/>
          <w:sz w:val="22"/>
          <w:szCs w:val="22"/>
        </w:rPr>
      </w:pPr>
    </w:p>
    <w:p w:rsidR="001450BC" w:rsidRPr="001450BC" w:rsidRDefault="001450BC" w:rsidP="001450BC">
      <w:pPr>
        <w:pStyle w:val="Default"/>
        <w:numPr>
          <w:ilvl w:val="0"/>
          <w:numId w:val="24"/>
        </w:numPr>
        <w:jc w:val="both"/>
        <w:rPr>
          <w:rFonts w:ascii="Calibri" w:hAnsi="Calibri"/>
          <w:i/>
          <w:color w:val="auto"/>
          <w:sz w:val="22"/>
          <w:szCs w:val="22"/>
          <w:u w:val="single"/>
        </w:rPr>
      </w:pPr>
      <w:r w:rsidRPr="001450BC">
        <w:rPr>
          <w:rFonts w:ascii="Calibri" w:hAnsi="Calibri"/>
          <w:i/>
          <w:color w:val="auto"/>
          <w:sz w:val="22"/>
          <w:szCs w:val="22"/>
          <w:u w:val="single"/>
        </w:rPr>
        <w:t xml:space="preserve">Points de livraison Haute Tension et Basse Tension &gt;36kVA </w:t>
      </w:r>
    </w:p>
    <w:p w:rsidR="001450BC" w:rsidRPr="002769F6" w:rsidRDefault="001450BC" w:rsidP="001450BC">
      <w:pPr>
        <w:pStyle w:val="Default"/>
        <w:jc w:val="both"/>
        <w:rPr>
          <w:rFonts w:ascii="Calibri" w:hAnsi="Calibri"/>
          <w:color w:val="auto"/>
          <w:sz w:val="22"/>
          <w:szCs w:val="22"/>
        </w:rPr>
      </w:pPr>
    </w:p>
    <w:p w:rsidR="001450BC" w:rsidRPr="002769F6" w:rsidRDefault="001450BC" w:rsidP="001450BC">
      <w:pPr>
        <w:pStyle w:val="Default"/>
        <w:numPr>
          <w:ilvl w:val="0"/>
          <w:numId w:val="23"/>
        </w:numPr>
        <w:jc w:val="both"/>
        <w:rPr>
          <w:rFonts w:ascii="Calibri" w:hAnsi="Calibri"/>
          <w:color w:val="auto"/>
          <w:sz w:val="22"/>
          <w:szCs w:val="22"/>
        </w:rPr>
      </w:pPr>
      <w:r w:rsidRPr="002769F6">
        <w:rPr>
          <w:rFonts w:ascii="Calibri" w:hAnsi="Calibri"/>
          <w:color w:val="auto"/>
          <w:sz w:val="22"/>
          <w:szCs w:val="22"/>
        </w:rPr>
        <w:t xml:space="preserve">un abonnement annuel (le prix de cet abonnement pourra être nul). Le paiement de cet abonnement sera mensualisé, </w:t>
      </w:r>
    </w:p>
    <w:p w:rsidR="001450BC" w:rsidRPr="00576A43" w:rsidRDefault="001450BC" w:rsidP="001450BC">
      <w:pPr>
        <w:pStyle w:val="Default"/>
        <w:numPr>
          <w:ilvl w:val="0"/>
          <w:numId w:val="23"/>
        </w:numPr>
        <w:jc w:val="both"/>
        <w:rPr>
          <w:rFonts w:ascii="Calibri" w:hAnsi="Calibri"/>
          <w:color w:val="auto"/>
          <w:sz w:val="22"/>
          <w:szCs w:val="22"/>
        </w:rPr>
      </w:pPr>
      <w:r w:rsidRPr="002769F6">
        <w:rPr>
          <w:rFonts w:ascii="Calibri" w:hAnsi="Calibri"/>
          <w:color w:val="auto"/>
          <w:sz w:val="22"/>
          <w:szCs w:val="22"/>
        </w:rPr>
        <w:t xml:space="preserve">la part fourniture d’énergie sur, au maximum, </w:t>
      </w:r>
      <w:r>
        <w:rPr>
          <w:rFonts w:ascii="Calibri" w:hAnsi="Calibri"/>
          <w:color w:val="auto"/>
          <w:sz w:val="22"/>
          <w:szCs w:val="22"/>
        </w:rPr>
        <w:t>5</w:t>
      </w:r>
      <w:r w:rsidRPr="002769F6">
        <w:rPr>
          <w:rFonts w:ascii="Calibri" w:hAnsi="Calibri"/>
          <w:color w:val="auto"/>
          <w:sz w:val="22"/>
          <w:szCs w:val="22"/>
        </w:rPr>
        <w:t xml:space="preserve"> périodes saisonnières </w:t>
      </w:r>
      <w:r>
        <w:rPr>
          <w:rFonts w:ascii="Calibri" w:hAnsi="Calibri"/>
          <w:color w:val="auto"/>
          <w:sz w:val="22"/>
          <w:szCs w:val="22"/>
        </w:rPr>
        <w:t xml:space="preserve">Pointes, </w:t>
      </w:r>
      <w:r w:rsidRPr="002769F6">
        <w:rPr>
          <w:rFonts w:ascii="Calibri" w:hAnsi="Calibri"/>
          <w:color w:val="auto"/>
          <w:sz w:val="22"/>
          <w:szCs w:val="22"/>
        </w:rPr>
        <w:t xml:space="preserve">Hiver Heures Pleines, Hiver Heures Creuses, Eté Heures Pleines, Eté Heures Creuses, (le prix sur les périodes pourra être identique). Le prix intègrera le coût proportionnel au soutirage physique payé au RTE. Ce coût, actuellement de 0,15 €/MWh, suivra les </w:t>
      </w:r>
      <w:r>
        <w:rPr>
          <w:rFonts w:ascii="Calibri" w:hAnsi="Calibri"/>
          <w:color w:val="auto"/>
          <w:sz w:val="22"/>
          <w:szCs w:val="22"/>
        </w:rPr>
        <w:t xml:space="preserve">évolutions de la réglementation et le coût des CEE. </w:t>
      </w:r>
      <w:r w:rsidRPr="002769F6">
        <w:rPr>
          <w:rFonts w:ascii="Calibri" w:hAnsi="Calibri"/>
          <w:color w:val="auto"/>
          <w:sz w:val="22"/>
          <w:szCs w:val="22"/>
        </w:rPr>
        <w:t xml:space="preserve"> Le coût de fourniture n’intègre pas le coût de distribution, </w:t>
      </w:r>
    </w:p>
    <w:p w:rsidR="001450BC" w:rsidRPr="002769F6" w:rsidRDefault="001450BC" w:rsidP="001450BC">
      <w:pPr>
        <w:pStyle w:val="Default"/>
        <w:numPr>
          <w:ilvl w:val="0"/>
          <w:numId w:val="23"/>
        </w:numPr>
        <w:jc w:val="both"/>
        <w:rPr>
          <w:rFonts w:ascii="Calibri" w:hAnsi="Calibri"/>
          <w:color w:val="auto"/>
          <w:sz w:val="22"/>
          <w:szCs w:val="22"/>
        </w:rPr>
      </w:pPr>
      <w:r w:rsidRPr="002769F6">
        <w:rPr>
          <w:rFonts w:ascii="Calibri" w:hAnsi="Calibri"/>
          <w:color w:val="auto"/>
          <w:sz w:val="22"/>
          <w:szCs w:val="22"/>
        </w:rPr>
        <w:t xml:space="preserve">la part Distribution, y compris les frais de comptage, facturés selon le tarif TURPE, </w:t>
      </w:r>
    </w:p>
    <w:p w:rsidR="001450BC" w:rsidRPr="002769F6" w:rsidRDefault="001450BC" w:rsidP="001450BC">
      <w:pPr>
        <w:pStyle w:val="Default"/>
        <w:numPr>
          <w:ilvl w:val="0"/>
          <w:numId w:val="23"/>
        </w:numPr>
        <w:jc w:val="both"/>
        <w:rPr>
          <w:rFonts w:ascii="Calibri" w:hAnsi="Calibri"/>
          <w:color w:val="auto"/>
          <w:sz w:val="22"/>
          <w:szCs w:val="22"/>
        </w:rPr>
      </w:pPr>
      <w:r w:rsidRPr="002769F6">
        <w:rPr>
          <w:rFonts w:ascii="Calibri" w:hAnsi="Calibri"/>
          <w:color w:val="auto"/>
          <w:sz w:val="22"/>
          <w:szCs w:val="22"/>
        </w:rPr>
        <w:t xml:space="preserve">les taxes et contributions (CTA, CSPE, TCFE). Cette part sera estimée à partir de la souscription proposée </w:t>
      </w:r>
      <w:r>
        <w:rPr>
          <w:rFonts w:ascii="Calibri" w:hAnsi="Calibri"/>
          <w:color w:val="auto"/>
          <w:sz w:val="22"/>
          <w:szCs w:val="22"/>
        </w:rPr>
        <w:t>au DQE</w:t>
      </w:r>
      <w:r w:rsidRPr="00C55639">
        <w:rPr>
          <w:rFonts w:ascii="Calibri" w:hAnsi="Calibri"/>
          <w:color w:val="auto"/>
          <w:sz w:val="22"/>
          <w:szCs w:val="22"/>
        </w:rPr>
        <w:t>.</w:t>
      </w:r>
      <w:r w:rsidRPr="00C55639">
        <w:rPr>
          <w:rFonts w:ascii="Calibri" w:hAnsi="Calibri"/>
          <w:color w:val="FF0000"/>
          <w:sz w:val="22"/>
          <w:szCs w:val="22"/>
        </w:rPr>
        <w:t xml:space="preserve">  </w:t>
      </w:r>
    </w:p>
    <w:p w:rsidR="001450BC" w:rsidRPr="00C55639" w:rsidRDefault="001450BC" w:rsidP="001450BC">
      <w:pPr>
        <w:pStyle w:val="Default"/>
        <w:jc w:val="both"/>
        <w:rPr>
          <w:rFonts w:ascii="Calibri" w:hAnsi="Calibri"/>
          <w:color w:val="auto"/>
          <w:sz w:val="22"/>
          <w:szCs w:val="22"/>
        </w:rPr>
      </w:pPr>
    </w:p>
    <w:p w:rsidR="002769F6" w:rsidRPr="002769F6" w:rsidRDefault="002769F6" w:rsidP="00AE4BA3">
      <w:pPr>
        <w:pStyle w:val="Default"/>
        <w:jc w:val="both"/>
        <w:rPr>
          <w:rFonts w:ascii="Calibri" w:hAnsi="Calibri"/>
          <w:color w:val="auto"/>
          <w:sz w:val="22"/>
          <w:szCs w:val="22"/>
        </w:rPr>
      </w:pPr>
    </w:p>
    <w:p w:rsid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Les prix demandés dans les annexes à l’acte</w:t>
      </w:r>
      <w:r w:rsidR="004B5C54" w:rsidRPr="002769F6">
        <w:rPr>
          <w:rFonts w:ascii="Calibri" w:hAnsi="Calibri"/>
          <w:color w:val="auto"/>
          <w:sz w:val="22"/>
          <w:szCs w:val="22"/>
        </w:rPr>
        <w:t xml:space="preserve"> d’engagement </w:t>
      </w:r>
      <w:r w:rsidRPr="002769F6">
        <w:rPr>
          <w:rFonts w:ascii="Calibri" w:hAnsi="Calibri"/>
          <w:color w:val="auto"/>
          <w:sz w:val="22"/>
          <w:szCs w:val="22"/>
        </w:rPr>
        <w:t xml:space="preserve">sont </w:t>
      </w:r>
      <w:r w:rsidR="007E0CBB">
        <w:rPr>
          <w:rFonts w:ascii="Calibri" w:hAnsi="Calibri"/>
          <w:color w:val="auto"/>
          <w:sz w:val="22"/>
          <w:szCs w:val="22"/>
        </w:rPr>
        <w:t xml:space="preserve">fermes avec une </w:t>
      </w:r>
      <w:r w:rsidR="007E77ED" w:rsidRPr="009260A7">
        <w:rPr>
          <w:rFonts w:ascii="Calibri" w:hAnsi="Calibri"/>
          <w:color w:val="auto"/>
          <w:sz w:val="22"/>
          <w:szCs w:val="22"/>
        </w:rPr>
        <w:t xml:space="preserve">durée de validité </w:t>
      </w:r>
      <w:r w:rsidR="007E77ED" w:rsidRPr="00447F9F">
        <w:rPr>
          <w:rFonts w:ascii="Calibri" w:hAnsi="Calibri"/>
          <w:color w:val="auto"/>
          <w:sz w:val="22"/>
          <w:szCs w:val="22"/>
        </w:rPr>
        <w:t xml:space="preserve">de </w:t>
      </w:r>
      <w:r w:rsidR="001D42D6" w:rsidRPr="00447F9F">
        <w:rPr>
          <w:rFonts w:ascii="Calibri" w:hAnsi="Calibri"/>
          <w:color w:val="auto"/>
          <w:sz w:val="22"/>
          <w:szCs w:val="22"/>
        </w:rPr>
        <w:t xml:space="preserve"> </w:t>
      </w:r>
      <w:r w:rsidR="001450BC" w:rsidRPr="00447F9F">
        <w:rPr>
          <w:rFonts w:ascii="Calibri" w:hAnsi="Calibri"/>
          <w:color w:val="auto"/>
          <w:sz w:val="22"/>
          <w:szCs w:val="22"/>
        </w:rPr>
        <w:t>4</w:t>
      </w:r>
      <w:r w:rsidR="001D42D6" w:rsidRPr="00447F9F">
        <w:rPr>
          <w:rFonts w:ascii="Calibri" w:hAnsi="Calibri"/>
          <w:color w:val="auto"/>
          <w:sz w:val="22"/>
          <w:szCs w:val="22"/>
        </w:rPr>
        <w:t xml:space="preserve"> </w:t>
      </w:r>
      <w:r w:rsidR="001450BC" w:rsidRPr="00447F9F">
        <w:rPr>
          <w:rFonts w:ascii="Calibri" w:hAnsi="Calibri"/>
          <w:color w:val="auto"/>
          <w:sz w:val="22"/>
          <w:szCs w:val="22"/>
        </w:rPr>
        <w:t>jours</w:t>
      </w:r>
      <w:r w:rsidR="001D42D6" w:rsidRPr="00447F9F">
        <w:rPr>
          <w:rFonts w:ascii="Calibri" w:hAnsi="Calibri"/>
          <w:color w:val="auto"/>
          <w:sz w:val="22"/>
          <w:szCs w:val="22"/>
        </w:rPr>
        <w:t>.</w:t>
      </w:r>
    </w:p>
    <w:p w:rsidR="002769F6" w:rsidRPr="007B5E03" w:rsidRDefault="00B05F02" w:rsidP="007B5E03">
      <w:pPr>
        <w:pStyle w:val="Titre2"/>
        <w:rPr>
          <w:color w:val="808080" w:themeColor="accent4"/>
        </w:rPr>
      </w:pPr>
      <w:bookmarkStart w:id="17" w:name="_Toc434355933"/>
      <w:r w:rsidRPr="007B5E03">
        <w:rPr>
          <w:color w:val="808080" w:themeColor="accent4"/>
        </w:rPr>
        <w:t>4</w:t>
      </w:r>
      <w:r w:rsidR="007B5E03" w:rsidRPr="007B5E03">
        <w:rPr>
          <w:color w:val="808080" w:themeColor="accent4"/>
        </w:rPr>
        <w:t xml:space="preserve">.1. </w:t>
      </w:r>
      <w:r w:rsidR="002769F6" w:rsidRPr="007B5E03">
        <w:rPr>
          <w:color w:val="808080" w:themeColor="accent4"/>
        </w:rPr>
        <w:t>Structure du prix</w:t>
      </w:r>
      <w:bookmarkEnd w:id="17"/>
      <w:r w:rsidR="002769F6" w:rsidRPr="007B5E03">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 prix global couvre le coût de cette fourniture et de l’acheminement d’électricité ainsi que les services nécessairement liés à la fourniture, tels que décr</w:t>
      </w:r>
      <w:r w:rsidR="000A5EC6">
        <w:rPr>
          <w:rFonts w:ascii="Calibri" w:hAnsi="Calibri"/>
          <w:color w:val="auto"/>
          <w:sz w:val="22"/>
          <w:szCs w:val="22"/>
        </w:rPr>
        <w:t>its au CCTP et dans le Mémoire T</w:t>
      </w:r>
      <w:r w:rsidRPr="002769F6">
        <w:rPr>
          <w:rFonts w:ascii="Calibri" w:hAnsi="Calibri"/>
          <w:color w:val="auto"/>
          <w:sz w:val="22"/>
          <w:szCs w:val="22"/>
        </w:rPr>
        <w:t xml:space="preserve">echnique du Titulaire.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1450BC" w:rsidRDefault="001450BC" w:rsidP="001450BC">
      <w:pPr>
        <w:pStyle w:val="Default"/>
        <w:jc w:val="both"/>
        <w:rPr>
          <w:rFonts w:ascii="Calibri" w:hAnsi="Calibri"/>
          <w:color w:val="auto"/>
          <w:sz w:val="22"/>
          <w:szCs w:val="22"/>
        </w:rPr>
      </w:pPr>
      <w:r w:rsidRPr="002769F6">
        <w:rPr>
          <w:rFonts w:ascii="Calibri" w:hAnsi="Calibri"/>
          <w:color w:val="auto"/>
          <w:sz w:val="22"/>
          <w:szCs w:val="22"/>
        </w:rPr>
        <w:t xml:space="preserve">Ce prix se compose d’un coût : </w:t>
      </w:r>
    </w:p>
    <w:p w:rsidR="001450BC" w:rsidRDefault="001450BC" w:rsidP="001450BC">
      <w:pPr>
        <w:pStyle w:val="Default"/>
        <w:jc w:val="both"/>
        <w:rPr>
          <w:rFonts w:ascii="Calibri" w:hAnsi="Calibri"/>
          <w:color w:val="auto"/>
          <w:sz w:val="22"/>
          <w:szCs w:val="22"/>
        </w:rPr>
      </w:pPr>
    </w:p>
    <w:p w:rsidR="001450BC" w:rsidRPr="001450BC" w:rsidRDefault="001450BC" w:rsidP="001450BC">
      <w:pPr>
        <w:pStyle w:val="Default"/>
        <w:numPr>
          <w:ilvl w:val="0"/>
          <w:numId w:val="24"/>
        </w:numPr>
        <w:jc w:val="both"/>
        <w:rPr>
          <w:rFonts w:ascii="Calibri" w:hAnsi="Calibri"/>
          <w:i/>
          <w:color w:val="auto"/>
          <w:sz w:val="22"/>
          <w:szCs w:val="22"/>
          <w:u w:val="single"/>
        </w:rPr>
      </w:pPr>
      <w:r w:rsidRPr="001450BC">
        <w:rPr>
          <w:rFonts w:ascii="Calibri" w:hAnsi="Calibri"/>
          <w:i/>
          <w:color w:val="auto"/>
          <w:sz w:val="22"/>
          <w:szCs w:val="22"/>
          <w:u w:val="single"/>
        </w:rPr>
        <w:t xml:space="preserve">Points de livraison Haute Tension et Basse Tension &gt;36kVA </w:t>
      </w:r>
    </w:p>
    <w:p w:rsidR="001450BC" w:rsidRPr="002769F6" w:rsidRDefault="001450BC" w:rsidP="001450BC">
      <w:pPr>
        <w:pStyle w:val="Default"/>
        <w:numPr>
          <w:ilvl w:val="0"/>
          <w:numId w:val="25"/>
        </w:numPr>
        <w:jc w:val="both"/>
        <w:rPr>
          <w:rFonts w:ascii="Calibri" w:hAnsi="Calibri"/>
          <w:color w:val="auto"/>
          <w:sz w:val="22"/>
          <w:szCs w:val="22"/>
        </w:rPr>
      </w:pPr>
      <w:r w:rsidRPr="002769F6">
        <w:rPr>
          <w:rFonts w:ascii="Calibri" w:hAnsi="Calibri"/>
          <w:color w:val="auto"/>
          <w:sz w:val="22"/>
          <w:szCs w:val="22"/>
        </w:rPr>
        <w:t xml:space="preserve">abonnement exprimé en € HTT/an, </w:t>
      </w:r>
    </w:p>
    <w:p w:rsidR="001450BC" w:rsidRPr="002769F6" w:rsidRDefault="001450BC" w:rsidP="001450BC">
      <w:pPr>
        <w:pStyle w:val="Default"/>
        <w:numPr>
          <w:ilvl w:val="0"/>
          <w:numId w:val="25"/>
        </w:numPr>
        <w:jc w:val="both"/>
        <w:rPr>
          <w:rFonts w:ascii="Calibri" w:hAnsi="Calibri"/>
          <w:color w:val="auto"/>
          <w:sz w:val="22"/>
          <w:szCs w:val="22"/>
        </w:rPr>
      </w:pPr>
      <w:r w:rsidRPr="002769F6">
        <w:rPr>
          <w:rFonts w:ascii="Calibri" w:hAnsi="Calibri"/>
          <w:color w:val="auto"/>
          <w:sz w:val="22"/>
          <w:szCs w:val="22"/>
        </w:rPr>
        <w:t xml:space="preserve">le coût de l’énergie en € HTT/MWh décomposé au maximum sur </w:t>
      </w:r>
      <w:r w:rsidR="00BB1A48">
        <w:rPr>
          <w:rFonts w:ascii="Calibri" w:hAnsi="Calibri"/>
          <w:color w:val="auto"/>
          <w:sz w:val="22"/>
          <w:szCs w:val="22"/>
        </w:rPr>
        <w:t>5</w:t>
      </w:r>
      <w:r w:rsidRPr="002769F6">
        <w:rPr>
          <w:rFonts w:ascii="Calibri" w:hAnsi="Calibri"/>
          <w:color w:val="auto"/>
          <w:sz w:val="22"/>
          <w:szCs w:val="22"/>
        </w:rPr>
        <w:t xml:space="preserve"> périodes saisonnières, </w:t>
      </w:r>
    </w:p>
    <w:p w:rsidR="001450BC" w:rsidRPr="002769F6" w:rsidRDefault="001450BC" w:rsidP="001450BC">
      <w:pPr>
        <w:pStyle w:val="Default"/>
        <w:numPr>
          <w:ilvl w:val="0"/>
          <w:numId w:val="25"/>
        </w:numPr>
        <w:jc w:val="both"/>
        <w:rPr>
          <w:rFonts w:ascii="Calibri" w:hAnsi="Calibri"/>
          <w:color w:val="auto"/>
          <w:sz w:val="22"/>
          <w:szCs w:val="22"/>
        </w:rPr>
      </w:pPr>
      <w:r w:rsidRPr="002769F6">
        <w:rPr>
          <w:rFonts w:ascii="Calibri" w:hAnsi="Calibri"/>
          <w:color w:val="auto"/>
          <w:sz w:val="22"/>
          <w:szCs w:val="22"/>
        </w:rPr>
        <w:t xml:space="preserve">les coûts de distribution, y compris les frais de comptage, facturés selon le TURPE, </w:t>
      </w:r>
    </w:p>
    <w:p w:rsidR="001450BC" w:rsidRPr="002769F6" w:rsidRDefault="001450BC" w:rsidP="001450BC">
      <w:pPr>
        <w:pStyle w:val="Default"/>
        <w:numPr>
          <w:ilvl w:val="0"/>
          <w:numId w:val="25"/>
        </w:numPr>
        <w:jc w:val="both"/>
        <w:rPr>
          <w:rFonts w:ascii="Calibri" w:hAnsi="Calibri"/>
          <w:color w:val="auto"/>
          <w:sz w:val="22"/>
          <w:szCs w:val="22"/>
        </w:rPr>
      </w:pPr>
      <w:r w:rsidRPr="002769F6">
        <w:rPr>
          <w:rFonts w:ascii="Calibri" w:hAnsi="Calibri"/>
          <w:color w:val="auto"/>
          <w:sz w:val="22"/>
          <w:szCs w:val="22"/>
        </w:rPr>
        <w:t xml:space="preserve">les taxes et contributions (CTA, CSPE, TCFE). </w:t>
      </w:r>
    </w:p>
    <w:p w:rsidR="001450BC" w:rsidRPr="002769F6" w:rsidRDefault="001450BC" w:rsidP="001450BC">
      <w:pPr>
        <w:pStyle w:val="Default"/>
        <w:jc w:val="both"/>
        <w:rPr>
          <w:rFonts w:ascii="Calibri" w:hAnsi="Calibri"/>
          <w:color w:val="auto"/>
          <w:sz w:val="22"/>
          <w:szCs w:val="22"/>
        </w:rPr>
      </w:pPr>
    </w:p>
    <w:p w:rsidR="001450BC" w:rsidRPr="002769F6" w:rsidRDefault="001450BC" w:rsidP="001450BC">
      <w:pPr>
        <w:pStyle w:val="Default"/>
        <w:jc w:val="both"/>
        <w:rPr>
          <w:rFonts w:ascii="Calibri" w:hAnsi="Calibri"/>
          <w:color w:val="auto"/>
          <w:sz w:val="22"/>
          <w:szCs w:val="22"/>
        </w:rPr>
      </w:pPr>
      <w:r w:rsidRPr="002769F6">
        <w:rPr>
          <w:rFonts w:ascii="Calibri" w:hAnsi="Calibri"/>
          <w:color w:val="auto"/>
          <w:sz w:val="22"/>
          <w:szCs w:val="22"/>
        </w:rPr>
        <w:t xml:space="preserve"> </w:t>
      </w:r>
    </w:p>
    <w:p w:rsidR="001450BC" w:rsidRPr="001450BC" w:rsidRDefault="001450BC" w:rsidP="007D6F61">
      <w:pPr>
        <w:pStyle w:val="Default"/>
        <w:numPr>
          <w:ilvl w:val="0"/>
          <w:numId w:val="30"/>
        </w:numPr>
        <w:jc w:val="both"/>
        <w:rPr>
          <w:rFonts w:ascii="Calibri" w:hAnsi="Calibri"/>
          <w:i/>
          <w:color w:val="auto"/>
          <w:sz w:val="22"/>
          <w:szCs w:val="22"/>
          <w:u w:val="single"/>
        </w:rPr>
      </w:pPr>
      <w:r w:rsidRPr="001450BC">
        <w:rPr>
          <w:rFonts w:ascii="Calibri" w:hAnsi="Calibri"/>
          <w:i/>
          <w:color w:val="auto"/>
          <w:sz w:val="22"/>
          <w:szCs w:val="22"/>
          <w:u w:val="single"/>
        </w:rPr>
        <w:t xml:space="preserve">Points de Livraison (PdL) Basse Tension ≤ 36kVA </w:t>
      </w:r>
    </w:p>
    <w:p w:rsidR="007D6F61" w:rsidRDefault="001450BC" w:rsidP="007D6F61">
      <w:pPr>
        <w:pStyle w:val="Default"/>
        <w:numPr>
          <w:ilvl w:val="0"/>
          <w:numId w:val="25"/>
        </w:numPr>
        <w:jc w:val="both"/>
        <w:rPr>
          <w:rFonts w:ascii="Calibri" w:hAnsi="Calibri"/>
          <w:color w:val="auto"/>
          <w:sz w:val="22"/>
          <w:szCs w:val="22"/>
        </w:rPr>
      </w:pPr>
      <w:r w:rsidRPr="007D6F61">
        <w:rPr>
          <w:rFonts w:ascii="Calibri" w:hAnsi="Calibri"/>
          <w:color w:val="auto"/>
          <w:sz w:val="22"/>
          <w:szCs w:val="22"/>
        </w:rPr>
        <w:t xml:space="preserve">abonnement exprimé en € HTT/an, </w:t>
      </w:r>
    </w:p>
    <w:p w:rsidR="001450BC" w:rsidRPr="007D6F61" w:rsidRDefault="001450BC" w:rsidP="007D6F61">
      <w:pPr>
        <w:pStyle w:val="Default"/>
        <w:numPr>
          <w:ilvl w:val="0"/>
          <w:numId w:val="25"/>
        </w:numPr>
        <w:jc w:val="both"/>
        <w:rPr>
          <w:rFonts w:ascii="Calibri" w:hAnsi="Calibri"/>
          <w:color w:val="auto"/>
          <w:sz w:val="22"/>
          <w:szCs w:val="22"/>
        </w:rPr>
      </w:pPr>
      <w:r w:rsidRPr="007D6F61">
        <w:rPr>
          <w:rFonts w:ascii="Calibri" w:hAnsi="Calibri"/>
          <w:color w:val="auto"/>
          <w:sz w:val="22"/>
          <w:szCs w:val="22"/>
        </w:rPr>
        <w:t xml:space="preserve">le coût de l’énergie en € HTT/MWh, </w:t>
      </w:r>
    </w:p>
    <w:p w:rsidR="001450BC" w:rsidRPr="002769F6" w:rsidRDefault="001450BC" w:rsidP="007D6F61">
      <w:pPr>
        <w:pStyle w:val="Default"/>
        <w:numPr>
          <w:ilvl w:val="0"/>
          <w:numId w:val="25"/>
        </w:numPr>
        <w:jc w:val="both"/>
        <w:rPr>
          <w:rFonts w:ascii="Calibri" w:hAnsi="Calibri"/>
          <w:color w:val="auto"/>
          <w:sz w:val="22"/>
          <w:szCs w:val="22"/>
        </w:rPr>
      </w:pPr>
      <w:r w:rsidRPr="002769F6">
        <w:rPr>
          <w:rFonts w:ascii="Calibri" w:hAnsi="Calibri"/>
          <w:color w:val="auto"/>
          <w:sz w:val="22"/>
          <w:szCs w:val="22"/>
        </w:rPr>
        <w:t xml:space="preserve">les coûts de distribution, y compris les frais de comptage, facturés selon le TURPE, </w:t>
      </w:r>
    </w:p>
    <w:p w:rsidR="001450BC" w:rsidRPr="002769F6" w:rsidRDefault="001450BC" w:rsidP="007D6F61">
      <w:pPr>
        <w:pStyle w:val="Default"/>
        <w:numPr>
          <w:ilvl w:val="0"/>
          <w:numId w:val="25"/>
        </w:numPr>
        <w:jc w:val="both"/>
        <w:rPr>
          <w:rFonts w:ascii="Calibri" w:hAnsi="Calibri"/>
          <w:color w:val="auto"/>
          <w:sz w:val="22"/>
          <w:szCs w:val="22"/>
        </w:rPr>
      </w:pPr>
      <w:r w:rsidRPr="002769F6">
        <w:rPr>
          <w:rFonts w:ascii="Calibri" w:hAnsi="Calibri"/>
          <w:color w:val="auto"/>
          <w:sz w:val="22"/>
          <w:szCs w:val="22"/>
        </w:rPr>
        <w:t xml:space="preserve">les taxes et contributions (CTA, CSPE, TCFE). </w:t>
      </w:r>
    </w:p>
    <w:p w:rsidR="001450BC" w:rsidRDefault="001450BC" w:rsidP="0073088E">
      <w:pPr>
        <w:pStyle w:val="Default"/>
        <w:jc w:val="both"/>
        <w:rPr>
          <w:rFonts w:ascii="Calibri" w:hAnsi="Calibri"/>
          <w:color w:val="auto"/>
          <w:sz w:val="22"/>
          <w:szCs w:val="22"/>
        </w:rPr>
      </w:pPr>
    </w:p>
    <w:p w:rsidR="001450BC" w:rsidRDefault="001450BC" w:rsidP="0073088E">
      <w:pPr>
        <w:pStyle w:val="Default"/>
        <w:jc w:val="both"/>
        <w:rPr>
          <w:rFonts w:ascii="Calibri" w:hAnsi="Calibri"/>
          <w:color w:val="auto"/>
          <w:sz w:val="22"/>
          <w:szCs w:val="22"/>
        </w:rPr>
      </w:pPr>
    </w:p>
    <w:p w:rsidR="001450BC" w:rsidRDefault="001450BC" w:rsidP="0073088E">
      <w:pPr>
        <w:pStyle w:val="Default"/>
        <w:jc w:val="both"/>
        <w:rPr>
          <w:rFonts w:ascii="Calibri" w:hAnsi="Calibri"/>
          <w:color w:val="auto"/>
          <w:sz w:val="22"/>
          <w:szCs w:val="22"/>
        </w:rPr>
      </w:pPr>
    </w:p>
    <w:p w:rsidR="001450BC" w:rsidRDefault="001450BC" w:rsidP="0073088E">
      <w:pPr>
        <w:pStyle w:val="Default"/>
        <w:jc w:val="both"/>
        <w:rPr>
          <w:rFonts w:ascii="Calibri" w:hAnsi="Calibri"/>
          <w:color w:val="auto"/>
          <w:sz w:val="22"/>
          <w:szCs w:val="22"/>
        </w:rPr>
      </w:pPr>
    </w:p>
    <w:p w:rsidR="001450BC" w:rsidRDefault="001450BC" w:rsidP="0073088E">
      <w:pPr>
        <w:pStyle w:val="Default"/>
        <w:jc w:val="both"/>
        <w:rPr>
          <w:rFonts w:ascii="Calibri" w:hAnsi="Calibri"/>
          <w:color w:val="auto"/>
          <w:sz w:val="22"/>
          <w:szCs w:val="22"/>
        </w:rPr>
      </w:pPr>
    </w:p>
    <w:p w:rsidR="002769F6" w:rsidRPr="007B5E03" w:rsidRDefault="00B05F02" w:rsidP="007B5E03">
      <w:pPr>
        <w:pStyle w:val="Titre2"/>
        <w:rPr>
          <w:color w:val="808080" w:themeColor="accent4"/>
        </w:rPr>
      </w:pPr>
      <w:bookmarkStart w:id="18" w:name="_Toc434355934"/>
      <w:r w:rsidRPr="007B5E03">
        <w:rPr>
          <w:color w:val="808080" w:themeColor="accent4"/>
        </w:rPr>
        <w:lastRenderedPageBreak/>
        <w:t>4</w:t>
      </w:r>
      <w:r w:rsidR="007B5E03">
        <w:rPr>
          <w:color w:val="808080" w:themeColor="accent4"/>
        </w:rPr>
        <w:t xml:space="preserve">.2. </w:t>
      </w:r>
      <w:r w:rsidR="00B53E06" w:rsidRPr="007B5E03">
        <w:rPr>
          <w:color w:val="808080" w:themeColor="accent4"/>
        </w:rPr>
        <w:t>Révision des prix en cours de marché</w:t>
      </w:r>
      <w:bookmarkEnd w:id="18"/>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Conformément aux modalités contractuelles régissant le contrat unique, le titulaire du marché assurera le paiement auprès du GRD des sommes dues pour l’accès au réseau de distribution. Dans le cadre de cette prestation, le titulaire du marché s’engage à facturer strictement les montants dus au GRD au titre de l’accès au réseau.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titulaire s’engage à répercuter dans le cadre du présent marché toute modification des tarifs d’accès au réseau public de distribution qui interviendrait en cours de marché.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Les variations à la hausse comme à la baisse du tarif d’utilisation du réseau public d’électricité seront répercutées au réel intégralement dans les prix. Pour chaque modifi</w:t>
      </w:r>
      <w:r w:rsidR="007B5E03">
        <w:rPr>
          <w:rFonts w:ascii="Calibri" w:hAnsi="Calibri"/>
          <w:color w:val="auto"/>
          <w:sz w:val="22"/>
          <w:szCs w:val="22"/>
        </w:rPr>
        <w:t>cation, le ti</w:t>
      </w:r>
      <w:r w:rsidR="005E0BF9">
        <w:rPr>
          <w:rFonts w:ascii="Calibri" w:hAnsi="Calibri"/>
          <w:color w:val="auto"/>
          <w:sz w:val="22"/>
          <w:szCs w:val="22"/>
        </w:rPr>
        <w:t xml:space="preserve">tulaire adressera à la mairie de </w:t>
      </w:r>
      <w:r w:rsidR="00A90672">
        <w:rPr>
          <w:rFonts w:ascii="Calibri" w:hAnsi="Calibri"/>
          <w:sz w:val="22"/>
        </w:rPr>
        <w:t>Gouesnou</w:t>
      </w:r>
      <w:r w:rsidR="00C00F5C">
        <w:rPr>
          <w:rFonts w:ascii="Calibri" w:hAnsi="Calibri"/>
          <w:color w:val="auto"/>
          <w:sz w:val="22"/>
          <w:szCs w:val="22"/>
        </w:rPr>
        <w:t xml:space="preserve"> </w:t>
      </w:r>
      <w:r w:rsidR="007B5E03">
        <w:rPr>
          <w:rFonts w:ascii="Calibri" w:hAnsi="Calibri"/>
          <w:color w:val="auto"/>
          <w:sz w:val="22"/>
          <w:szCs w:val="22"/>
        </w:rPr>
        <w:t>u</w:t>
      </w:r>
      <w:r w:rsidRPr="002769F6">
        <w:rPr>
          <w:rFonts w:ascii="Calibri" w:hAnsi="Calibri"/>
          <w:color w:val="auto"/>
          <w:sz w:val="22"/>
          <w:szCs w:val="22"/>
        </w:rPr>
        <w:t xml:space="preserve">ne note explicative justifiant le montant de ces variations. Il présentera alors un bordereau de prix actualisé.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b/>
          <w:bCs/>
          <w:color w:val="auto"/>
          <w:sz w:val="22"/>
          <w:szCs w:val="22"/>
        </w:rPr>
        <w:t xml:space="preserve">Evolution de la règlementation :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Toute modification de la législation fiscale et parafiscale portant sur une augmentation des charges et/ou des taxes non support</w:t>
      </w:r>
      <w:r w:rsidR="00FF2A53" w:rsidRPr="002769F6">
        <w:rPr>
          <w:rFonts w:ascii="Calibri" w:hAnsi="Calibri"/>
          <w:color w:val="auto"/>
          <w:sz w:val="22"/>
          <w:szCs w:val="22"/>
        </w:rPr>
        <w:t>ées par le titulaire du marché</w:t>
      </w:r>
      <w:r w:rsidRPr="002769F6">
        <w:rPr>
          <w:rFonts w:ascii="Calibri" w:hAnsi="Calibri"/>
          <w:color w:val="auto"/>
          <w:sz w:val="22"/>
          <w:szCs w:val="22"/>
        </w:rPr>
        <w:t xml:space="preserve"> au moment de la remise de l’offre de prix seront répercutées au réel intégralement dans les prix.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4B5C54" w:rsidRPr="002769F6" w:rsidRDefault="004B5C54" w:rsidP="004B5C54">
      <w:pPr>
        <w:pStyle w:val="Default"/>
        <w:jc w:val="both"/>
        <w:rPr>
          <w:rFonts w:ascii="Calibri" w:hAnsi="Calibri"/>
          <w:color w:val="auto"/>
          <w:sz w:val="22"/>
          <w:szCs w:val="22"/>
        </w:rPr>
      </w:pPr>
      <w:r w:rsidRPr="002769F6">
        <w:rPr>
          <w:rFonts w:ascii="Calibri" w:hAnsi="Calibri"/>
          <w:color w:val="auto"/>
          <w:sz w:val="22"/>
          <w:szCs w:val="22"/>
        </w:rPr>
        <w:t>Les articles L.335-2 et suivants du Code de l’énergie prévoient l’entrée en vigueur à l’hiver 2016/2017 du dispositif des garanties de capacité. L’objectif de ce mécanisme est d’assurer la sécurité d’approvisionnement du système électrique. Avec ce mécanisme, les fournisseurs d’électricité doivent justifier de leur capacité à satisfaire la consommation de pointe par l’acquisition de « garanties de capacités ».</w:t>
      </w:r>
      <w:r w:rsidR="007B5E03">
        <w:rPr>
          <w:rFonts w:ascii="Calibri" w:hAnsi="Calibri"/>
          <w:color w:val="auto"/>
          <w:sz w:val="22"/>
          <w:szCs w:val="22"/>
        </w:rPr>
        <w:t xml:space="preserve"> </w:t>
      </w:r>
      <w:r w:rsidRPr="002769F6">
        <w:rPr>
          <w:rFonts w:ascii="Calibri" w:hAnsi="Calibri"/>
          <w:color w:val="auto"/>
          <w:sz w:val="22"/>
          <w:szCs w:val="22"/>
        </w:rPr>
        <w:t>En fonction de l’évolut</w:t>
      </w:r>
      <w:r w:rsidR="009260A7">
        <w:rPr>
          <w:rFonts w:ascii="Calibri" w:hAnsi="Calibri"/>
          <w:color w:val="auto"/>
          <w:sz w:val="22"/>
          <w:szCs w:val="22"/>
        </w:rPr>
        <w:t>ion du cadre réglementaire la mairie d</w:t>
      </w:r>
      <w:r w:rsidR="001332BB">
        <w:rPr>
          <w:rFonts w:ascii="Calibri" w:hAnsi="Calibri"/>
          <w:color w:val="auto"/>
          <w:sz w:val="22"/>
          <w:szCs w:val="22"/>
        </w:rPr>
        <w:t xml:space="preserve">e </w:t>
      </w:r>
      <w:r w:rsidR="00A90672">
        <w:rPr>
          <w:rFonts w:ascii="Calibri" w:hAnsi="Calibri"/>
          <w:sz w:val="22"/>
        </w:rPr>
        <w:t>Gouesnou</w:t>
      </w:r>
      <w:r w:rsidR="00F17EA4">
        <w:rPr>
          <w:rFonts w:ascii="Calibri" w:hAnsi="Calibri"/>
          <w:sz w:val="22"/>
        </w:rPr>
        <w:t xml:space="preserve"> </w:t>
      </w:r>
      <w:r w:rsidR="009260A7">
        <w:rPr>
          <w:rFonts w:ascii="Calibri" w:hAnsi="Calibri"/>
          <w:color w:val="auto"/>
          <w:sz w:val="22"/>
          <w:szCs w:val="22"/>
        </w:rPr>
        <w:t xml:space="preserve"> </w:t>
      </w:r>
      <w:r w:rsidRPr="002769F6">
        <w:rPr>
          <w:rFonts w:ascii="Calibri" w:hAnsi="Calibri"/>
          <w:color w:val="auto"/>
          <w:sz w:val="22"/>
          <w:szCs w:val="22"/>
        </w:rPr>
        <w:t>et le titulaire se rapprocheront pour préciser si besoin est, les modalités de prise en compte du dispositif dans le prix du Marché en cours.</w:t>
      </w:r>
    </w:p>
    <w:p w:rsidR="002769F6" w:rsidRPr="007B5E03" w:rsidRDefault="002769F6" w:rsidP="007B5E03">
      <w:pPr>
        <w:pStyle w:val="Titre1"/>
        <w:rPr>
          <w:color w:val="000000" w:themeColor="text1"/>
        </w:rPr>
      </w:pPr>
      <w:bookmarkStart w:id="19" w:name="_Toc434355935"/>
      <w:r w:rsidRPr="007B5E03">
        <w:rPr>
          <w:color w:val="000000" w:themeColor="text1"/>
        </w:rPr>
        <w:t xml:space="preserve">ARTICLE </w:t>
      </w:r>
      <w:r w:rsidR="00B05F02" w:rsidRPr="007B5E03">
        <w:rPr>
          <w:color w:val="000000" w:themeColor="text1"/>
        </w:rPr>
        <w:t>5</w:t>
      </w:r>
      <w:r w:rsidRPr="007B5E03">
        <w:rPr>
          <w:color w:val="000000" w:themeColor="text1"/>
        </w:rPr>
        <w:t xml:space="preserve"> : MODALITES DE REGLEMENT</w:t>
      </w:r>
      <w:bookmarkEnd w:id="19"/>
      <w:r w:rsidRPr="007B5E03">
        <w:rPr>
          <w:color w:val="000000" w:themeColor="text1"/>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Par dérogation à l’article 11 du CCAG-FCS, la demande de paiement est remplacée par une facture.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7B5E03" w:rsidRDefault="00B05F02" w:rsidP="007B5E03">
      <w:pPr>
        <w:pStyle w:val="Titre2"/>
        <w:rPr>
          <w:color w:val="808080" w:themeColor="accent4"/>
        </w:rPr>
      </w:pPr>
      <w:bookmarkStart w:id="20" w:name="_Toc434355936"/>
      <w:r w:rsidRPr="007B5E03">
        <w:rPr>
          <w:color w:val="808080" w:themeColor="accent4"/>
        </w:rPr>
        <w:t>5</w:t>
      </w:r>
      <w:r w:rsidR="007B5E03" w:rsidRPr="007B5E03">
        <w:rPr>
          <w:color w:val="808080" w:themeColor="accent4"/>
        </w:rPr>
        <w:t xml:space="preserve">.1. </w:t>
      </w:r>
      <w:r w:rsidR="002769F6" w:rsidRPr="007B5E03">
        <w:rPr>
          <w:color w:val="808080" w:themeColor="accent4"/>
        </w:rPr>
        <w:t>Délai global de paiement - Intérêts moratoires</w:t>
      </w:r>
      <w:bookmarkEnd w:id="20"/>
      <w:r w:rsidR="002769F6" w:rsidRPr="007B5E03">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Les personnes publiques sont soumises à l’application du décret n°2013-269 en date du 29 mars 2013 relatif à la lutte contre les retards de paiement dans les contrats de la commande publique.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délai global de paiement pour les collectivités territoriales et les établissements publics locaux ne peut excéder 30 jours.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Lorsque les sommes dues en principal par les personnes publiques ne sont pas mises en paiement à l'échéance prévue à l'expiration du délai de paiement, le Titulaire créancier a droit, sans qu'il ait à les demander, au versement des intérêts moratoires et de l'indemnité forfaitaire pour frais de recouvrement, cette dernière étant fixée à 40 euros (art. 9 du décret n° 2013-269).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taux des intérêts moratoires pour retard de paiement est égal aux taux d’intérêt appliqué par la banque centrale européenne à ses opérations principales de refinancement les plus récentes, en vigueur </w:t>
      </w:r>
      <w:r w:rsidRPr="002769F6">
        <w:rPr>
          <w:rFonts w:ascii="Calibri" w:hAnsi="Calibri"/>
          <w:color w:val="auto"/>
          <w:sz w:val="22"/>
          <w:szCs w:val="22"/>
        </w:rPr>
        <w:lastRenderedPageBreak/>
        <w:t xml:space="preserve">au premier jour du semestre de l’année civile au cours duquel les intérêts moratoires ont commencé à </w:t>
      </w:r>
      <w:r w:rsidR="00F87C46">
        <w:rPr>
          <w:rFonts w:ascii="Calibri" w:hAnsi="Calibri"/>
          <w:color w:val="auto"/>
          <w:sz w:val="22"/>
          <w:szCs w:val="22"/>
        </w:rPr>
        <w:t>courir</w:t>
      </w:r>
      <w:r w:rsidRPr="002769F6">
        <w:rPr>
          <w:rFonts w:ascii="Calibri" w:hAnsi="Calibri"/>
          <w:color w:val="auto"/>
          <w:sz w:val="22"/>
          <w:szCs w:val="22"/>
        </w:rPr>
        <w:t xml:space="preserve">, majoré de huit virgule zéro cinq points de pourcentage.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7B5E03" w:rsidRDefault="002769F6" w:rsidP="009C08D0">
      <w:pPr>
        <w:pStyle w:val="Default"/>
        <w:jc w:val="both"/>
        <w:rPr>
          <w:color w:val="808080" w:themeColor="accent4"/>
        </w:rPr>
      </w:pPr>
      <w:r w:rsidRPr="002769F6">
        <w:rPr>
          <w:rFonts w:ascii="Calibri" w:hAnsi="Calibri"/>
          <w:color w:val="auto"/>
          <w:sz w:val="22"/>
          <w:szCs w:val="22"/>
        </w:rPr>
        <w:t xml:space="preserve"> </w:t>
      </w:r>
      <w:r w:rsidR="00B05F02" w:rsidRPr="007B5E03">
        <w:rPr>
          <w:b/>
          <w:bCs/>
          <w:color w:val="808080" w:themeColor="accent4"/>
        </w:rPr>
        <w:t>5</w:t>
      </w:r>
      <w:r w:rsidR="007B5E03" w:rsidRPr="007B5E03">
        <w:rPr>
          <w:b/>
          <w:bCs/>
          <w:color w:val="808080" w:themeColor="accent4"/>
        </w:rPr>
        <w:t xml:space="preserve">.2. </w:t>
      </w:r>
      <w:r w:rsidRPr="007B5E03">
        <w:rPr>
          <w:b/>
          <w:bCs/>
          <w:color w:val="808080" w:themeColor="accent4"/>
        </w:rPr>
        <w:t xml:space="preserve">Modalités de règlement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F45B07">
        <w:rPr>
          <w:rFonts w:ascii="Calibri" w:hAnsi="Calibri"/>
          <w:color w:val="auto"/>
          <w:sz w:val="22"/>
          <w:szCs w:val="22"/>
        </w:rPr>
        <w:t xml:space="preserve">Le règlement s’effectuera par </w:t>
      </w:r>
      <w:r w:rsidR="002919AE">
        <w:rPr>
          <w:rFonts w:ascii="Calibri" w:hAnsi="Calibri"/>
          <w:color w:val="auto"/>
          <w:sz w:val="22"/>
          <w:szCs w:val="22"/>
        </w:rPr>
        <w:t xml:space="preserve">la mairie de </w:t>
      </w:r>
      <w:r w:rsidR="00A90672">
        <w:rPr>
          <w:rFonts w:ascii="Calibri" w:hAnsi="Calibri"/>
          <w:sz w:val="22"/>
        </w:rPr>
        <w:t>Gouesnou</w:t>
      </w:r>
      <w:r w:rsidR="001332BB" w:rsidRPr="00F45B07">
        <w:rPr>
          <w:rFonts w:ascii="Calibri" w:hAnsi="Calibri"/>
          <w:color w:val="auto"/>
          <w:sz w:val="22"/>
          <w:szCs w:val="22"/>
        </w:rPr>
        <w:t xml:space="preserve"> </w:t>
      </w:r>
      <w:r w:rsidRPr="00F45B07">
        <w:rPr>
          <w:rFonts w:ascii="Calibri" w:hAnsi="Calibri"/>
          <w:color w:val="auto"/>
          <w:sz w:val="22"/>
          <w:szCs w:val="22"/>
        </w:rPr>
        <w:t xml:space="preserve">à l’échéance sous forme </w:t>
      </w:r>
      <w:r w:rsidRPr="00447F9F">
        <w:rPr>
          <w:rFonts w:ascii="Calibri" w:hAnsi="Calibri"/>
          <w:color w:val="auto"/>
          <w:sz w:val="22"/>
          <w:szCs w:val="22"/>
        </w:rPr>
        <w:t xml:space="preserve">de </w:t>
      </w:r>
      <w:r w:rsidR="007E77ED" w:rsidRPr="00447F9F">
        <w:rPr>
          <w:rFonts w:ascii="Calibri" w:hAnsi="Calibri"/>
          <w:color w:val="auto"/>
          <w:sz w:val="22"/>
          <w:szCs w:val="22"/>
        </w:rPr>
        <w:t>mandats administratifs.</w:t>
      </w:r>
    </w:p>
    <w:p w:rsidR="002769F6" w:rsidRPr="002769F6" w:rsidRDefault="002769F6" w:rsidP="00AE4BA3">
      <w:pPr>
        <w:pStyle w:val="Default"/>
        <w:jc w:val="both"/>
        <w:rPr>
          <w:rFonts w:ascii="Calibri" w:hAnsi="Calibri" w:cs="Times New Roman"/>
          <w:color w:val="auto"/>
          <w:sz w:val="20"/>
          <w:szCs w:val="20"/>
        </w:rPr>
      </w:pPr>
      <w:r w:rsidRPr="002769F6">
        <w:rPr>
          <w:rFonts w:ascii="Calibri" w:hAnsi="Calibri" w:cs="Times New Roman"/>
          <w:color w:val="auto"/>
          <w:sz w:val="20"/>
          <w:szCs w:val="20"/>
        </w:rPr>
        <w:t xml:space="preserve"> </w:t>
      </w:r>
    </w:p>
    <w:p w:rsidR="002769F6" w:rsidRPr="007B5E03" w:rsidRDefault="00B05F02" w:rsidP="007B5E03">
      <w:pPr>
        <w:pStyle w:val="Titre2"/>
        <w:rPr>
          <w:color w:val="808080" w:themeColor="accent4"/>
        </w:rPr>
      </w:pPr>
      <w:bookmarkStart w:id="21" w:name="_Toc434355937"/>
      <w:r w:rsidRPr="007B5E03">
        <w:rPr>
          <w:color w:val="808080" w:themeColor="accent4"/>
        </w:rPr>
        <w:t>5</w:t>
      </w:r>
      <w:r w:rsidR="00041562">
        <w:rPr>
          <w:color w:val="808080" w:themeColor="accent4"/>
        </w:rPr>
        <w:t xml:space="preserve">.3. </w:t>
      </w:r>
      <w:r w:rsidR="002769F6" w:rsidRPr="007B5E03">
        <w:rPr>
          <w:color w:val="808080" w:themeColor="accent4"/>
        </w:rPr>
        <w:t>Financement</w:t>
      </w:r>
      <w:bookmarkEnd w:id="21"/>
      <w:r w:rsidR="002769F6" w:rsidRPr="007B5E03">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marché est financé par </w:t>
      </w:r>
      <w:r w:rsidR="002919AE">
        <w:rPr>
          <w:rFonts w:ascii="Calibri" w:hAnsi="Calibri"/>
          <w:color w:val="auto"/>
          <w:sz w:val="22"/>
          <w:szCs w:val="22"/>
        </w:rPr>
        <w:t xml:space="preserve">la commune de </w:t>
      </w:r>
      <w:r w:rsidR="00A90672">
        <w:rPr>
          <w:rFonts w:ascii="Calibri" w:hAnsi="Calibri"/>
          <w:sz w:val="22"/>
        </w:rPr>
        <w:t>Gouesnou</w:t>
      </w: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7B5E03" w:rsidRDefault="00B05F02" w:rsidP="007B5E03">
      <w:pPr>
        <w:pStyle w:val="Titre2"/>
        <w:rPr>
          <w:color w:val="808080" w:themeColor="accent4"/>
        </w:rPr>
      </w:pPr>
      <w:bookmarkStart w:id="22" w:name="_Toc434355938"/>
      <w:r w:rsidRPr="007B5E03">
        <w:rPr>
          <w:color w:val="808080" w:themeColor="accent4"/>
        </w:rPr>
        <w:t>5</w:t>
      </w:r>
      <w:r w:rsidR="00041562">
        <w:rPr>
          <w:color w:val="808080" w:themeColor="accent4"/>
        </w:rPr>
        <w:t xml:space="preserve">.4. </w:t>
      </w:r>
      <w:r w:rsidR="002769F6" w:rsidRPr="007B5E03">
        <w:rPr>
          <w:color w:val="808080" w:themeColor="accent4"/>
        </w:rPr>
        <w:t>Facturation</w:t>
      </w:r>
      <w:bookmarkEnd w:id="22"/>
      <w:r w:rsidR="002769F6" w:rsidRPr="007B5E03">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Les modalités de facturation sont indiquées dans l</w:t>
      </w:r>
      <w:r w:rsidR="006C37F7" w:rsidRPr="002769F6">
        <w:rPr>
          <w:rFonts w:ascii="Calibri" w:hAnsi="Calibri"/>
          <w:color w:val="auto"/>
          <w:sz w:val="22"/>
          <w:szCs w:val="22"/>
        </w:rPr>
        <w:t xml:space="preserve">e Mémoire de chaque Titulaire de marché </w:t>
      </w:r>
      <w:r w:rsidRPr="002769F6">
        <w:rPr>
          <w:rFonts w:ascii="Calibri" w:hAnsi="Calibri"/>
          <w:color w:val="auto"/>
          <w:sz w:val="22"/>
          <w:szCs w:val="22"/>
        </w:rPr>
        <w:t xml:space="preserve">et doivent respecter les clauses prévues au CCTP.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9C08D0">
      <w:pPr>
        <w:pStyle w:val="Titre1"/>
        <w:rPr>
          <w:color w:val="auto"/>
        </w:rPr>
      </w:pPr>
      <w:bookmarkStart w:id="23" w:name="_Toc434355939"/>
      <w:r w:rsidRPr="009C08D0">
        <w:rPr>
          <w:color w:val="auto"/>
        </w:rPr>
        <w:t xml:space="preserve">ARTICLE </w:t>
      </w:r>
      <w:r w:rsidR="00B05F02" w:rsidRPr="009C08D0">
        <w:rPr>
          <w:color w:val="auto"/>
        </w:rPr>
        <w:t>6</w:t>
      </w:r>
      <w:r w:rsidRPr="009C08D0">
        <w:rPr>
          <w:color w:val="auto"/>
        </w:rPr>
        <w:t xml:space="preserve"> : PENALITES DE RETARD</w:t>
      </w:r>
      <w:bookmarkEnd w:id="23"/>
      <w:r w:rsidRPr="009C08D0">
        <w:rPr>
          <w:color w:val="auto"/>
        </w:rPr>
        <w:t xml:space="preserve"> </w:t>
      </w:r>
    </w:p>
    <w:p w:rsidR="002769F6" w:rsidRPr="002769F6" w:rsidRDefault="002769F6" w:rsidP="00AE4BA3">
      <w:pPr>
        <w:pStyle w:val="Default"/>
        <w:jc w:val="both"/>
        <w:rPr>
          <w:rFonts w:ascii="Calibri" w:hAnsi="Calibri"/>
          <w:color w:val="auto"/>
        </w:rPr>
      </w:pPr>
      <w:r w:rsidRPr="002769F6">
        <w:rPr>
          <w:rFonts w:ascii="Calibri" w:hAnsi="Calibri"/>
          <w:b/>
          <w:bCs/>
          <w:color w:val="auto"/>
        </w:rPr>
        <w:t xml:space="preserve"> </w:t>
      </w:r>
    </w:p>
    <w:p w:rsidR="002769F6" w:rsidRPr="009C08D0" w:rsidRDefault="00B05F02" w:rsidP="009C08D0">
      <w:pPr>
        <w:pStyle w:val="Titre2"/>
        <w:rPr>
          <w:color w:val="808080" w:themeColor="accent4"/>
        </w:rPr>
      </w:pPr>
      <w:bookmarkStart w:id="24" w:name="_Toc434355940"/>
      <w:r w:rsidRPr="009C08D0">
        <w:rPr>
          <w:color w:val="808080" w:themeColor="accent4"/>
        </w:rPr>
        <w:t>6</w:t>
      </w:r>
      <w:r w:rsidR="009C08D0">
        <w:rPr>
          <w:color w:val="808080" w:themeColor="accent4"/>
        </w:rPr>
        <w:t xml:space="preserve">.1. </w:t>
      </w:r>
      <w:r w:rsidR="002769F6" w:rsidRPr="009C08D0">
        <w:rPr>
          <w:color w:val="808080" w:themeColor="accent4"/>
        </w:rPr>
        <w:t>Pénalités pour retard de rattachement d’un</w:t>
      </w:r>
      <w:r w:rsidR="00A1622A">
        <w:rPr>
          <w:color w:val="808080" w:themeColor="accent4"/>
        </w:rPr>
        <w:t xml:space="preserve"> Point de L</w:t>
      </w:r>
      <w:r w:rsidR="002769F6" w:rsidRPr="009C08D0">
        <w:rPr>
          <w:color w:val="808080" w:themeColor="accent4"/>
        </w:rPr>
        <w:t xml:space="preserve">ivraison </w:t>
      </w:r>
      <w:r w:rsidR="009260A7">
        <w:rPr>
          <w:color w:val="808080" w:themeColor="accent4"/>
        </w:rPr>
        <w:t>(PdL)</w:t>
      </w:r>
      <w:bookmarkEnd w:id="24"/>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FF2A53" w:rsidP="00AE4BA3">
      <w:pPr>
        <w:pStyle w:val="Default"/>
        <w:jc w:val="both"/>
        <w:rPr>
          <w:rFonts w:ascii="Calibri" w:hAnsi="Calibri"/>
          <w:color w:val="auto"/>
          <w:sz w:val="22"/>
          <w:szCs w:val="22"/>
        </w:rPr>
      </w:pPr>
      <w:r w:rsidRPr="002769F6">
        <w:rPr>
          <w:rFonts w:ascii="Calibri" w:hAnsi="Calibri"/>
          <w:color w:val="auto"/>
          <w:sz w:val="22"/>
          <w:szCs w:val="22"/>
        </w:rPr>
        <w:t>Le titulaire du marché</w:t>
      </w:r>
      <w:r w:rsidR="002769F6" w:rsidRPr="002769F6">
        <w:rPr>
          <w:rFonts w:ascii="Calibri" w:hAnsi="Calibri"/>
          <w:color w:val="auto"/>
          <w:sz w:val="22"/>
          <w:szCs w:val="22"/>
        </w:rPr>
        <w:t xml:space="preserve"> encourt des pénalités en cas de non-respect des délais indiqués dans son offre c</w:t>
      </w:r>
      <w:r w:rsidR="00A1622A">
        <w:rPr>
          <w:rFonts w:ascii="Calibri" w:hAnsi="Calibri"/>
          <w:color w:val="auto"/>
          <w:sz w:val="22"/>
          <w:szCs w:val="22"/>
        </w:rPr>
        <w:t>oncernant le rattachement d’un Point de L</w:t>
      </w:r>
      <w:r w:rsidR="002769F6" w:rsidRPr="002769F6">
        <w:rPr>
          <w:rFonts w:ascii="Calibri" w:hAnsi="Calibri"/>
          <w:color w:val="auto"/>
          <w:sz w:val="22"/>
          <w:szCs w:val="22"/>
        </w:rPr>
        <w:t xml:space="preserve">ivraison </w:t>
      </w:r>
      <w:r w:rsidR="00FE5311">
        <w:rPr>
          <w:rFonts w:ascii="Calibri" w:hAnsi="Calibri"/>
          <w:color w:val="auto"/>
          <w:sz w:val="22"/>
          <w:szCs w:val="22"/>
        </w:rPr>
        <w:t xml:space="preserve">(PdL) </w:t>
      </w:r>
      <w:r w:rsidR="002769F6" w:rsidRPr="002769F6">
        <w:rPr>
          <w:rFonts w:ascii="Calibri" w:hAnsi="Calibri"/>
          <w:color w:val="auto"/>
          <w:sz w:val="22"/>
          <w:szCs w:val="22"/>
        </w:rPr>
        <w:t xml:space="preserve">au nouveau fournisseur.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Une pénalité de </w:t>
      </w:r>
      <w:r w:rsidRPr="002769F6">
        <w:rPr>
          <w:rFonts w:ascii="Calibri" w:hAnsi="Calibri"/>
          <w:color w:val="auto"/>
        </w:rPr>
        <w:t xml:space="preserve">150.00 € </w:t>
      </w:r>
      <w:r w:rsidR="00A1622A">
        <w:rPr>
          <w:rFonts w:ascii="Calibri" w:hAnsi="Calibri"/>
          <w:color w:val="auto"/>
          <w:sz w:val="22"/>
          <w:szCs w:val="22"/>
        </w:rPr>
        <w:t>(cent cinquante euros) par Point de L</w:t>
      </w:r>
      <w:r w:rsidRPr="002769F6">
        <w:rPr>
          <w:rFonts w:ascii="Calibri" w:hAnsi="Calibri"/>
          <w:color w:val="auto"/>
          <w:sz w:val="22"/>
          <w:szCs w:val="22"/>
        </w:rPr>
        <w:t xml:space="preserve">ivraison </w:t>
      </w:r>
      <w:r w:rsidR="00FE5311">
        <w:rPr>
          <w:rFonts w:ascii="Calibri" w:hAnsi="Calibri"/>
          <w:color w:val="auto"/>
          <w:sz w:val="22"/>
          <w:szCs w:val="22"/>
        </w:rPr>
        <w:t xml:space="preserve">(PdL) </w:t>
      </w:r>
      <w:r w:rsidRPr="002769F6">
        <w:rPr>
          <w:rFonts w:ascii="Calibri" w:hAnsi="Calibri"/>
          <w:color w:val="auto"/>
          <w:sz w:val="22"/>
          <w:szCs w:val="22"/>
        </w:rPr>
        <w:t xml:space="preserve">et par jour calendaire de retard est appliquée à compter de la date prévue de fourniture d’électricité.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Les pénalités pour retard commencent à courir, sans qu’il soit nécessaire de procéder à une mise en demeure.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 montant de cette pénalité vient en déduction du montant de la pre</w:t>
      </w:r>
      <w:r w:rsidR="00A1622A">
        <w:rPr>
          <w:rFonts w:ascii="Calibri" w:hAnsi="Calibri"/>
          <w:color w:val="auto"/>
          <w:sz w:val="22"/>
          <w:szCs w:val="22"/>
        </w:rPr>
        <w:t>mière facture correspondant au Point de L</w:t>
      </w:r>
      <w:r w:rsidRPr="002769F6">
        <w:rPr>
          <w:rFonts w:ascii="Calibri" w:hAnsi="Calibri"/>
          <w:color w:val="auto"/>
          <w:sz w:val="22"/>
          <w:szCs w:val="22"/>
        </w:rPr>
        <w:t xml:space="preserve">ivraison </w:t>
      </w:r>
      <w:r w:rsidR="00FE5311">
        <w:rPr>
          <w:rFonts w:ascii="Calibri" w:hAnsi="Calibri"/>
          <w:color w:val="auto"/>
          <w:sz w:val="22"/>
          <w:szCs w:val="22"/>
        </w:rPr>
        <w:t xml:space="preserve">(PdL) </w:t>
      </w:r>
      <w:r w:rsidRPr="002769F6">
        <w:rPr>
          <w:rFonts w:ascii="Calibri" w:hAnsi="Calibri"/>
          <w:color w:val="auto"/>
          <w:sz w:val="22"/>
          <w:szCs w:val="22"/>
        </w:rPr>
        <w:t xml:space="preserve">concerné.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B05F02" w:rsidP="009C08D0">
      <w:pPr>
        <w:pStyle w:val="Titre2"/>
        <w:rPr>
          <w:color w:val="808080" w:themeColor="accent4"/>
        </w:rPr>
      </w:pPr>
      <w:bookmarkStart w:id="25" w:name="_Toc434355941"/>
      <w:r w:rsidRPr="009C08D0">
        <w:rPr>
          <w:color w:val="808080" w:themeColor="accent4"/>
        </w:rPr>
        <w:t>6</w:t>
      </w:r>
      <w:r w:rsidR="009C08D0" w:rsidRPr="009C08D0">
        <w:rPr>
          <w:color w:val="808080" w:themeColor="accent4"/>
        </w:rPr>
        <w:t xml:space="preserve">.2. </w:t>
      </w:r>
      <w:r w:rsidR="002769F6" w:rsidRPr="009C08D0">
        <w:rPr>
          <w:color w:val="808080" w:themeColor="accent4"/>
        </w:rPr>
        <w:t>Pénalités pour discontinuité de fourniture</w:t>
      </w:r>
      <w:bookmarkEnd w:id="25"/>
      <w:r w:rsidR="002769F6" w:rsidRPr="009C08D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Tous les coûts financiers résultant de la défaillance du titulaire, notamment la défaillance de fourniture d’énergie électrique au réseau de distribution, seront à la</w:t>
      </w:r>
      <w:r w:rsidR="00FF2A53" w:rsidRPr="002769F6">
        <w:rPr>
          <w:rFonts w:ascii="Calibri" w:hAnsi="Calibri"/>
          <w:color w:val="auto"/>
          <w:sz w:val="22"/>
          <w:szCs w:val="22"/>
        </w:rPr>
        <w:t xml:space="preserve"> charge du titulaire du marché </w:t>
      </w:r>
      <w:r w:rsidRPr="002769F6">
        <w:rPr>
          <w:rFonts w:ascii="Calibri" w:hAnsi="Calibri"/>
          <w:color w:val="auto"/>
          <w:sz w:val="22"/>
          <w:szCs w:val="22"/>
        </w:rPr>
        <w:t xml:space="preserve">en cas de non-respect des conditions générales de vente du distributeur. </w:t>
      </w:r>
    </w:p>
    <w:p w:rsidR="002769F6" w:rsidRPr="002769F6" w:rsidRDefault="002769F6" w:rsidP="00AE4BA3">
      <w:pPr>
        <w:pStyle w:val="Default"/>
        <w:jc w:val="both"/>
        <w:rPr>
          <w:rFonts w:ascii="Calibri" w:hAnsi="Calibri"/>
          <w:color w:val="auto"/>
        </w:rPr>
      </w:pPr>
      <w:r w:rsidRPr="002769F6">
        <w:rPr>
          <w:rFonts w:ascii="Calibri" w:hAnsi="Calibri"/>
          <w:b/>
          <w:bCs/>
          <w:color w:val="auto"/>
        </w:rPr>
        <w:t xml:space="preserve"> </w:t>
      </w:r>
    </w:p>
    <w:p w:rsidR="002769F6" w:rsidRPr="009C08D0" w:rsidRDefault="00B05F02" w:rsidP="009C08D0">
      <w:pPr>
        <w:pStyle w:val="Titre2"/>
        <w:rPr>
          <w:color w:val="808080" w:themeColor="accent4"/>
        </w:rPr>
      </w:pPr>
      <w:bookmarkStart w:id="26" w:name="_Toc434355942"/>
      <w:r w:rsidRPr="009C08D0">
        <w:rPr>
          <w:color w:val="808080" w:themeColor="accent4"/>
        </w:rPr>
        <w:t>6</w:t>
      </w:r>
      <w:r w:rsidR="009C08D0" w:rsidRPr="009C08D0">
        <w:rPr>
          <w:color w:val="808080" w:themeColor="accent4"/>
        </w:rPr>
        <w:t xml:space="preserve">.3. </w:t>
      </w:r>
      <w:r w:rsidR="002769F6" w:rsidRPr="009C08D0">
        <w:rPr>
          <w:color w:val="808080" w:themeColor="accent4"/>
        </w:rPr>
        <w:t>Pénalités pour erreur de facturation</w:t>
      </w:r>
      <w:bookmarkEnd w:id="26"/>
      <w:r w:rsidR="002769F6" w:rsidRPr="009C08D0">
        <w:rPr>
          <w:color w:val="808080" w:themeColor="accent4"/>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A061F0" w:rsidRDefault="00FF2A53" w:rsidP="00AE4BA3">
      <w:pPr>
        <w:pStyle w:val="Default"/>
        <w:jc w:val="both"/>
        <w:rPr>
          <w:rFonts w:ascii="Calibri" w:hAnsi="Calibri"/>
          <w:color w:val="FF0000"/>
          <w:sz w:val="22"/>
          <w:szCs w:val="22"/>
          <w:u w:val="single"/>
        </w:rPr>
      </w:pPr>
      <w:r w:rsidRPr="002769F6">
        <w:rPr>
          <w:rFonts w:ascii="Calibri" w:hAnsi="Calibri"/>
          <w:color w:val="auto"/>
          <w:sz w:val="22"/>
          <w:szCs w:val="22"/>
        </w:rPr>
        <w:t xml:space="preserve">Le titulaire du marché </w:t>
      </w:r>
      <w:r w:rsidR="002769F6" w:rsidRPr="002769F6">
        <w:rPr>
          <w:rFonts w:ascii="Calibri" w:hAnsi="Calibri"/>
          <w:color w:val="auto"/>
          <w:sz w:val="22"/>
          <w:szCs w:val="22"/>
        </w:rPr>
        <w:t xml:space="preserve">encourt des pénalités en cas de non-respect du format des données de facturation ou d’erreur dans la facturation, tel que décrit à </w:t>
      </w:r>
      <w:r w:rsidR="002769F6" w:rsidRPr="00FE5311">
        <w:rPr>
          <w:rFonts w:ascii="Calibri" w:hAnsi="Calibri"/>
          <w:color w:val="auto"/>
          <w:sz w:val="22"/>
          <w:szCs w:val="22"/>
        </w:rPr>
        <w:t xml:space="preserve">l’article </w:t>
      </w:r>
      <w:r w:rsidR="00A061F0" w:rsidRPr="00FE5311">
        <w:rPr>
          <w:rFonts w:ascii="Calibri" w:hAnsi="Calibri"/>
          <w:color w:val="auto"/>
          <w:sz w:val="22"/>
          <w:szCs w:val="22"/>
        </w:rPr>
        <w:t xml:space="preserve">4.1 </w:t>
      </w:r>
      <w:r w:rsidR="002769F6" w:rsidRPr="00FE5311">
        <w:rPr>
          <w:rFonts w:ascii="Calibri" w:hAnsi="Calibri"/>
          <w:color w:val="auto"/>
          <w:sz w:val="22"/>
          <w:szCs w:val="22"/>
        </w:rPr>
        <w:t>du CCTP.</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lastRenderedPageBreak/>
        <w:t xml:space="preserve">Une pénalité forfaitaire de </w:t>
      </w:r>
      <w:r w:rsidRPr="002769F6">
        <w:rPr>
          <w:rFonts w:ascii="Calibri" w:hAnsi="Calibri"/>
          <w:b/>
          <w:bCs/>
          <w:color w:val="auto"/>
        </w:rPr>
        <w:t>50.00 €</w:t>
      </w:r>
      <w:r w:rsidRPr="002769F6">
        <w:rPr>
          <w:rFonts w:ascii="Calibri" w:hAnsi="Calibri"/>
          <w:color w:val="auto"/>
        </w:rPr>
        <w:t xml:space="preserve"> </w:t>
      </w:r>
      <w:r w:rsidRPr="002769F6">
        <w:rPr>
          <w:rFonts w:ascii="Calibri" w:hAnsi="Calibri"/>
          <w:color w:val="auto"/>
          <w:sz w:val="22"/>
          <w:szCs w:val="22"/>
        </w:rPr>
        <w:t xml:space="preserve">(cinquante euros) par facture incomplète ou erronée est appliquée à compter de la date d’information du titulaire par les membres.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Le montant de cette pénalité vient en déduction du montant de la proc</w:t>
      </w:r>
      <w:r w:rsidR="00A1622A">
        <w:rPr>
          <w:rFonts w:ascii="Calibri" w:hAnsi="Calibri"/>
          <w:color w:val="auto"/>
          <w:sz w:val="22"/>
          <w:szCs w:val="22"/>
        </w:rPr>
        <w:t>haine facture correspondant au Point de L</w:t>
      </w:r>
      <w:r w:rsidRPr="002769F6">
        <w:rPr>
          <w:rFonts w:ascii="Calibri" w:hAnsi="Calibri"/>
          <w:color w:val="auto"/>
          <w:sz w:val="22"/>
          <w:szCs w:val="22"/>
        </w:rPr>
        <w:t xml:space="preserve">ivraison </w:t>
      </w:r>
      <w:r w:rsidR="00FE5311">
        <w:rPr>
          <w:rFonts w:ascii="Calibri" w:hAnsi="Calibri"/>
          <w:color w:val="auto"/>
          <w:sz w:val="22"/>
          <w:szCs w:val="22"/>
        </w:rPr>
        <w:t xml:space="preserve">(PdL) </w:t>
      </w:r>
      <w:r w:rsidRPr="002769F6">
        <w:rPr>
          <w:rFonts w:ascii="Calibri" w:hAnsi="Calibri"/>
          <w:color w:val="auto"/>
          <w:sz w:val="22"/>
          <w:szCs w:val="22"/>
        </w:rPr>
        <w:t xml:space="preserve">concerné.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Par dérogation à l’article 14 du CCAG FCS, les pénalités sont nettes, elles ne sont pas soumises aux clauses de variation des prix et seront dues dès le premier euro.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9C08D0">
      <w:pPr>
        <w:pStyle w:val="Titre1"/>
        <w:rPr>
          <w:color w:val="auto"/>
        </w:rPr>
      </w:pPr>
      <w:bookmarkStart w:id="27" w:name="_Toc434355943"/>
      <w:r w:rsidRPr="009C08D0">
        <w:rPr>
          <w:color w:val="auto"/>
        </w:rPr>
        <w:t xml:space="preserve">ARTICLE </w:t>
      </w:r>
      <w:r w:rsidR="00B05F02" w:rsidRPr="009C08D0">
        <w:rPr>
          <w:color w:val="auto"/>
        </w:rPr>
        <w:t>7</w:t>
      </w:r>
      <w:r w:rsidRPr="009C08D0">
        <w:rPr>
          <w:color w:val="auto"/>
        </w:rPr>
        <w:t xml:space="preserve"> : AUTORISATION DE FOURNITURE D’ELECTRICITE</w:t>
      </w:r>
      <w:bookmarkEnd w:id="27"/>
      <w:r w:rsidRPr="009C08D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Le </w:t>
      </w:r>
      <w:r w:rsidR="007E0CBB">
        <w:rPr>
          <w:rFonts w:ascii="Calibri" w:hAnsi="Calibri"/>
          <w:color w:val="auto"/>
          <w:sz w:val="22"/>
          <w:szCs w:val="22"/>
        </w:rPr>
        <w:t>titulaire doit être agréé</w:t>
      </w:r>
      <w:r w:rsidRPr="002769F6">
        <w:rPr>
          <w:rFonts w:ascii="Calibri" w:hAnsi="Calibri"/>
          <w:color w:val="auto"/>
          <w:sz w:val="22"/>
          <w:szCs w:val="22"/>
        </w:rPr>
        <w:t xml:space="preserve"> pour la fourniture d’électricité pour les différents </w:t>
      </w:r>
      <w:r w:rsidR="008C3DB6">
        <w:rPr>
          <w:rFonts w:ascii="Calibri" w:hAnsi="Calibri"/>
          <w:color w:val="auto"/>
          <w:sz w:val="22"/>
          <w:szCs w:val="22"/>
        </w:rPr>
        <w:t>Points de Livraison (PdL)</w:t>
      </w:r>
      <w:r w:rsidR="00FE5311">
        <w:rPr>
          <w:rFonts w:ascii="Calibri" w:hAnsi="Calibri"/>
          <w:color w:val="auto"/>
          <w:sz w:val="22"/>
          <w:szCs w:val="22"/>
        </w:rPr>
        <w:t xml:space="preserve"> </w:t>
      </w:r>
      <w:r w:rsidRPr="002769F6">
        <w:rPr>
          <w:rFonts w:ascii="Calibri" w:hAnsi="Calibri"/>
          <w:color w:val="auto"/>
          <w:sz w:val="22"/>
          <w:szCs w:val="22"/>
        </w:rPr>
        <w:t xml:space="preserve">compris dans le marché. </w:t>
      </w:r>
    </w:p>
    <w:p w:rsidR="002769F6" w:rsidRPr="009C08D0" w:rsidRDefault="002769F6" w:rsidP="009C08D0">
      <w:pPr>
        <w:pStyle w:val="Titre1"/>
        <w:rPr>
          <w:color w:val="auto"/>
        </w:rPr>
      </w:pPr>
      <w:r w:rsidRPr="002769F6">
        <w:rPr>
          <w:rFonts w:ascii="Calibri" w:hAnsi="Calibri"/>
          <w:color w:val="auto"/>
          <w:sz w:val="22"/>
          <w:szCs w:val="22"/>
        </w:rPr>
        <w:t xml:space="preserve"> </w:t>
      </w:r>
      <w:bookmarkStart w:id="28" w:name="_Toc434355944"/>
      <w:r w:rsidRPr="009C08D0">
        <w:rPr>
          <w:color w:val="auto"/>
        </w:rPr>
        <w:t xml:space="preserve">ARTICLE </w:t>
      </w:r>
      <w:r w:rsidR="00B05F02" w:rsidRPr="009C08D0">
        <w:rPr>
          <w:color w:val="auto"/>
        </w:rPr>
        <w:t>8</w:t>
      </w:r>
      <w:r w:rsidRPr="009C08D0">
        <w:rPr>
          <w:color w:val="auto"/>
        </w:rPr>
        <w:t xml:space="preserve"> : ATTESTATIONS ET ASSURANCES</w:t>
      </w:r>
      <w:bookmarkEnd w:id="28"/>
      <w:r w:rsidRPr="009C08D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Sous  peine  </w:t>
      </w:r>
      <w:r w:rsidR="007E0CBB">
        <w:rPr>
          <w:rFonts w:ascii="Calibri" w:hAnsi="Calibri"/>
          <w:color w:val="auto"/>
          <w:sz w:val="22"/>
          <w:szCs w:val="22"/>
        </w:rPr>
        <w:t>d</w:t>
      </w:r>
      <w:r w:rsidR="0073088E">
        <w:rPr>
          <w:rFonts w:ascii="Calibri" w:hAnsi="Calibri"/>
          <w:color w:val="auto"/>
          <w:sz w:val="22"/>
          <w:szCs w:val="22"/>
        </w:rPr>
        <w:t>e  rejet  de  leur  offre, l’</w:t>
      </w:r>
      <w:r w:rsidR="007E0CBB">
        <w:rPr>
          <w:rFonts w:ascii="Calibri" w:hAnsi="Calibri"/>
          <w:color w:val="auto"/>
          <w:sz w:val="22"/>
          <w:szCs w:val="22"/>
        </w:rPr>
        <w:t>opérateur  auquel</w:t>
      </w:r>
      <w:r w:rsidRPr="002769F6">
        <w:rPr>
          <w:rFonts w:ascii="Calibri" w:hAnsi="Calibri"/>
          <w:color w:val="auto"/>
          <w:sz w:val="22"/>
          <w:szCs w:val="22"/>
        </w:rPr>
        <w:t xml:space="preserve">  il  est  envisagé  d'attribuer  </w:t>
      </w:r>
      <w:r w:rsidR="007E0CBB">
        <w:rPr>
          <w:rFonts w:ascii="Calibri" w:hAnsi="Calibri"/>
          <w:color w:val="auto"/>
          <w:sz w:val="22"/>
          <w:szCs w:val="22"/>
        </w:rPr>
        <w:t xml:space="preserve">le marché produit </w:t>
      </w:r>
      <w:r w:rsidRPr="002769F6">
        <w:rPr>
          <w:rFonts w:ascii="Calibri" w:hAnsi="Calibri"/>
          <w:color w:val="auto"/>
          <w:sz w:val="22"/>
          <w:szCs w:val="22"/>
        </w:rPr>
        <w:t xml:space="preserve">dans un délai imparti par le Coordonnateur :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Les pièces prévues aux articles D. 8222-5 ou D. 8222-7 et D. 8222-8 du Code du travail,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Les attestations et certificats délivrés par les administrations et organismes compétents prouvant qu'ils ont satisfait à leurs obligations fiscales et sociales ou le formulaire NOTI2. Les opérateurs établis dans un Etat autre que la France produisent un certificat établi par les administrations et organismes du pays d'origine. Lorsqu'un tel certificat n'est pas délivré par le pays concerné, il peut être remplacé par une déclaration sous serment ou, dans les Etats où un tel serment n'existe pas, par une déclaration solennelle faite par l'intéressé devant l'autorité CCAP 10/20 judiciaire ou administrative compétente, un notaire ou un organisme professionnel qualifié du pays.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Conformément aux dispositions en vigueur de l'article 46-I </w:t>
      </w:r>
      <w:r w:rsidR="007E0CBB">
        <w:rPr>
          <w:rFonts w:ascii="Calibri" w:hAnsi="Calibri"/>
          <w:color w:val="auto"/>
          <w:sz w:val="22"/>
          <w:szCs w:val="22"/>
        </w:rPr>
        <w:t>du Code des marchés publics, le Titulaire</w:t>
      </w:r>
      <w:r w:rsidR="002919AE">
        <w:rPr>
          <w:rFonts w:ascii="Calibri" w:hAnsi="Calibri"/>
          <w:color w:val="auto"/>
          <w:sz w:val="22"/>
          <w:szCs w:val="22"/>
        </w:rPr>
        <w:t xml:space="preserve"> produi</w:t>
      </w:r>
      <w:r w:rsidRPr="002769F6">
        <w:rPr>
          <w:rFonts w:ascii="Calibri" w:hAnsi="Calibri"/>
          <w:color w:val="auto"/>
          <w:sz w:val="22"/>
          <w:szCs w:val="22"/>
        </w:rPr>
        <w:t xml:space="preserve">t en outre, tous les 6 mois </w:t>
      </w:r>
      <w:r w:rsidR="006C37F7" w:rsidRPr="002769F6">
        <w:rPr>
          <w:rFonts w:ascii="Calibri" w:hAnsi="Calibri"/>
          <w:color w:val="auto"/>
          <w:sz w:val="22"/>
          <w:szCs w:val="22"/>
        </w:rPr>
        <w:t>jusqu'à la fin de l'exécution des marchés</w:t>
      </w:r>
      <w:r w:rsidRPr="002769F6">
        <w:rPr>
          <w:rFonts w:ascii="Calibri" w:hAnsi="Calibri"/>
          <w:color w:val="auto"/>
          <w:sz w:val="22"/>
          <w:szCs w:val="22"/>
        </w:rPr>
        <w:t xml:space="preserve">, les pièces prévues aux articles D. 8222-5 ou D. 8222-7 et D. 8222-8 du Code du travail.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8B2EDF">
      <w:pPr>
        <w:pStyle w:val="Default"/>
        <w:jc w:val="both"/>
        <w:rPr>
          <w:rFonts w:ascii="Calibri" w:hAnsi="Calibri"/>
          <w:color w:val="auto"/>
          <w:sz w:val="22"/>
          <w:szCs w:val="22"/>
        </w:rPr>
      </w:pPr>
      <w:r w:rsidRPr="002769F6">
        <w:rPr>
          <w:rFonts w:ascii="Calibri" w:hAnsi="Calibri"/>
          <w:color w:val="auto"/>
          <w:sz w:val="22"/>
          <w:szCs w:val="22"/>
        </w:rPr>
        <w:t>Par  ailleurs, à tout moment au cours de l'exécu</w:t>
      </w:r>
      <w:r w:rsidR="006C37F7" w:rsidRPr="002769F6">
        <w:rPr>
          <w:rFonts w:ascii="Calibri" w:hAnsi="Calibri"/>
          <w:color w:val="auto"/>
          <w:sz w:val="22"/>
          <w:szCs w:val="22"/>
        </w:rPr>
        <w:t>tion des marchés</w:t>
      </w:r>
      <w:r w:rsidR="007E0CBB">
        <w:rPr>
          <w:rFonts w:ascii="Calibri" w:hAnsi="Calibri"/>
          <w:color w:val="auto"/>
          <w:sz w:val="22"/>
          <w:szCs w:val="22"/>
        </w:rPr>
        <w:t>, le titulaire devra</w:t>
      </w:r>
      <w:r w:rsidRPr="002769F6">
        <w:rPr>
          <w:rFonts w:ascii="Calibri" w:hAnsi="Calibri"/>
          <w:color w:val="auto"/>
          <w:sz w:val="22"/>
          <w:szCs w:val="22"/>
        </w:rPr>
        <w:t xml:space="preserve"> pouvoir justifier, au</w:t>
      </w:r>
      <w:r w:rsidR="002919AE">
        <w:rPr>
          <w:rFonts w:ascii="Calibri" w:hAnsi="Calibri"/>
          <w:color w:val="auto"/>
          <w:sz w:val="22"/>
          <w:szCs w:val="22"/>
        </w:rPr>
        <w:t xml:space="preserve"> moyen d’une attestation, qu’il est couvert</w:t>
      </w:r>
      <w:r w:rsidRPr="002769F6">
        <w:rPr>
          <w:rFonts w:ascii="Calibri" w:hAnsi="Calibri"/>
          <w:color w:val="auto"/>
          <w:sz w:val="22"/>
          <w:szCs w:val="22"/>
        </w:rPr>
        <w:t xml:space="preserve">, pendant </w:t>
      </w:r>
      <w:r w:rsidR="006C37F7" w:rsidRPr="002769F6">
        <w:rPr>
          <w:rFonts w:ascii="Calibri" w:hAnsi="Calibri"/>
          <w:color w:val="auto"/>
          <w:sz w:val="22"/>
          <w:szCs w:val="22"/>
        </w:rPr>
        <w:t>toute la durée d’exécution des marché</w:t>
      </w:r>
      <w:r w:rsidR="008B2EDF">
        <w:rPr>
          <w:rFonts w:ascii="Calibri" w:hAnsi="Calibri"/>
          <w:color w:val="auto"/>
          <w:sz w:val="22"/>
          <w:szCs w:val="22"/>
        </w:rPr>
        <w:t>s</w:t>
      </w:r>
      <w:r w:rsidRPr="002769F6">
        <w:rPr>
          <w:rFonts w:ascii="Calibri" w:hAnsi="Calibri"/>
          <w:color w:val="auto"/>
          <w:sz w:val="22"/>
          <w:szCs w:val="22"/>
        </w:rPr>
        <w:t>, par un contrat d’assurance au titre de la responsabilité civile découlant des articles 1382 et 1384 du Code civil, ainsi qu’au titre de la responsabilité professionnelle, en cas d’accidents ou de dommages causés à l’occasion de l’exécution de</w:t>
      </w:r>
      <w:r w:rsidR="006C37F7" w:rsidRPr="002769F6">
        <w:rPr>
          <w:rFonts w:ascii="Calibri" w:hAnsi="Calibri"/>
          <w:color w:val="auto"/>
          <w:sz w:val="22"/>
          <w:szCs w:val="22"/>
        </w:rPr>
        <w:t>s marchés</w:t>
      </w:r>
      <w:r w:rsidRPr="002769F6">
        <w:rPr>
          <w:rFonts w:ascii="Calibri" w:hAnsi="Calibri"/>
          <w:color w:val="auto"/>
          <w:sz w:val="22"/>
          <w:szCs w:val="22"/>
        </w:rPr>
        <w:t xml:space="preserve">.   </w:t>
      </w:r>
      <w:r w:rsidR="008B2EDF">
        <w:rPr>
          <w:rFonts w:ascii="Calibri" w:hAnsi="Calibri"/>
          <w:color w:val="auto"/>
          <w:sz w:val="22"/>
          <w:szCs w:val="22"/>
        </w:rPr>
        <w:tab/>
      </w:r>
    </w:p>
    <w:p w:rsidR="002769F6" w:rsidRPr="009C08D0" w:rsidRDefault="002769F6" w:rsidP="009C08D0">
      <w:pPr>
        <w:pStyle w:val="Titre1"/>
        <w:rPr>
          <w:color w:val="auto"/>
        </w:rPr>
      </w:pPr>
      <w:bookmarkStart w:id="29" w:name="_Toc434355945"/>
      <w:r w:rsidRPr="009C08D0">
        <w:rPr>
          <w:color w:val="auto"/>
        </w:rPr>
        <w:t xml:space="preserve">ARTICLE </w:t>
      </w:r>
      <w:r w:rsidR="00B05F02" w:rsidRPr="009C08D0">
        <w:rPr>
          <w:color w:val="auto"/>
        </w:rPr>
        <w:t>9</w:t>
      </w:r>
      <w:r w:rsidRPr="009C08D0">
        <w:rPr>
          <w:color w:val="auto"/>
        </w:rPr>
        <w:t xml:space="preserve"> : CONFIDENTIALITE</w:t>
      </w:r>
      <w:bookmarkEnd w:id="29"/>
      <w:r w:rsidRPr="009C08D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Chaque titulaire qui, à l'occasion de l'exécution </w:t>
      </w:r>
      <w:r w:rsidR="00FF2A53" w:rsidRPr="002769F6">
        <w:rPr>
          <w:rFonts w:ascii="Calibri" w:hAnsi="Calibri"/>
          <w:color w:val="auto"/>
          <w:sz w:val="22"/>
          <w:szCs w:val="22"/>
        </w:rPr>
        <w:t>du marché</w:t>
      </w:r>
      <w:r w:rsidRPr="002769F6">
        <w:rPr>
          <w:rFonts w:ascii="Calibri" w:hAnsi="Calibri"/>
          <w:color w:val="auto"/>
          <w:sz w:val="22"/>
          <w:szCs w:val="22"/>
        </w:rPr>
        <w:t>, a reçu communication à titre confidentiel de renseignements, documents ou objets quelconques, est tenu de maintenir confidentielle cette communication pendant une durée de trois ans après la dat</w:t>
      </w:r>
      <w:r w:rsidR="00FF2A53" w:rsidRPr="002769F6">
        <w:rPr>
          <w:rFonts w:ascii="Calibri" w:hAnsi="Calibri"/>
          <w:color w:val="auto"/>
          <w:sz w:val="22"/>
          <w:szCs w:val="22"/>
        </w:rPr>
        <w:t>e de fin des marchés</w:t>
      </w: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lastRenderedPageBreak/>
        <w:t xml:space="preserve">Ces renseignements, documents ou objets ne peuvent, sans autorisation du pouvoir adjudicateur, être communiqués à d'autres personnes que celles qui ont qualité pour en connaître. Il en est de même de tout renseignement de même nature parvenu à la connaissance du titulaire à l'occasion de la fourniture ou de l'exécution du service.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FE5311" w:rsidP="00AE4BA3">
      <w:pPr>
        <w:pStyle w:val="Default"/>
        <w:jc w:val="both"/>
        <w:rPr>
          <w:rFonts w:ascii="Calibri" w:hAnsi="Calibri"/>
          <w:color w:val="auto"/>
          <w:sz w:val="22"/>
          <w:szCs w:val="22"/>
        </w:rPr>
      </w:pPr>
      <w:r>
        <w:rPr>
          <w:rFonts w:ascii="Calibri" w:hAnsi="Calibri"/>
          <w:color w:val="auto"/>
          <w:sz w:val="22"/>
          <w:szCs w:val="22"/>
        </w:rPr>
        <w:t>La mairie d</w:t>
      </w:r>
      <w:r w:rsidR="00A34CBB">
        <w:rPr>
          <w:rFonts w:ascii="Calibri" w:hAnsi="Calibri"/>
          <w:color w:val="auto"/>
          <w:sz w:val="22"/>
          <w:szCs w:val="22"/>
        </w:rPr>
        <w:t xml:space="preserve">e </w:t>
      </w:r>
      <w:r w:rsidR="00A90672">
        <w:rPr>
          <w:rFonts w:ascii="Calibri" w:hAnsi="Calibri"/>
          <w:sz w:val="22"/>
        </w:rPr>
        <w:t>Gouesnou</w:t>
      </w:r>
      <w:r w:rsidR="00F17EA4">
        <w:rPr>
          <w:rFonts w:ascii="Calibri" w:hAnsi="Calibri"/>
          <w:sz w:val="22"/>
        </w:rPr>
        <w:t xml:space="preserve"> </w:t>
      </w:r>
      <w:r w:rsidR="002769F6" w:rsidRPr="002769F6">
        <w:rPr>
          <w:rFonts w:ascii="Calibri" w:hAnsi="Calibri"/>
          <w:color w:val="auto"/>
          <w:sz w:val="22"/>
          <w:szCs w:val="22"/>
        </w:rPr>
        <w:t>s'engage à maintenir confidentielles les informations, signalées comme t</w:t>
      </w:r>
      <w:r w:rsidR="00981C95">
        <w:rPr>
          <w:rFonts w:ascii="Calibri" w:hAnsi="Calibri"/>
          <w:color w:val="auto"/>
          <w:sz w:val="22"/>
          <w:szCs w:val="22"/>
        </w:rPr>
        <w:t>elles, qu'elle</w:t>
      </w:r>
      <w:r w:rsidR="002769F6" w:rsidRPr="002769F6">
        <w:rPr>
          <w:rFonts w:ascii="Calibri" w:hAnsi="Calibri"/>
          <w:color w:val="auto"/>
          <w:sz w:val="22"/>
          <w:szCs w:val="22"/>
        </w:rPr>
        <w:t xml:space="preserve"> aurait pu recevoir du titulaire.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titulaire et </w:t>
      </w:r>
      <w:r w:rsidR="00FE5311">
        <w:rPr>
          <w:rFonts w:ascii="Calibri" w:hAnsi="Calibri"/>
          <w:color w:val="auto"/>
          <w:sz w:val="22"/>
          <w:szCs w:val="22"/>
        </w:rPr>
        <w:t>la mairie d</w:t>
      </w:r>
      <w:r w:rsidR="00A34CBB">
        <w:rPr>
          <w:rFonts w:ascii="Calibri" w:hAnsi="Calibri"/>
          <w:color w:val="auto"/>
          <w:sz w:val="22"/>
          <w:szCs w:val="22"/>
        </w:rPr>
        <w:t xml:space="preserve">e </w:t>
      </w:r>
      <w:r w:rsidR="00A90672">
        <w:rPr>
          <w:rFonts w:ascii="Calibri" w:hAnsi="Calibri"/>
          <w:sz w:val="22"/>
        </w:rPr>
        <w:t>Gouesnou</w:t>
      </w:r>
      <w:r w:rsidR="00F17EA4">
        <w:rPr>
          <w:rFonts w:ascii="Calibri" w:hAnsi="Calibri"/>
          <w:sz w:val="22"/>
        </w:rPr>
        <w:t xml:space="preserve"> </w:t>
      </w:r>
      <w:r w:rsidRPr="002769F6">
        <w:rPr>
          <w:rFonts w:ascii="Calibri" w:hAnsi="Calibri"/>
          <w:color w:val="auto"/>
          <w:sz w:val="22"/>
          <w:szCs w:val="22"/>
        </w:rPr>
        <w:t>s'engagent, chacun pour leur part, à ne pas divulguer toute information confidentielle en provenance de l'autre partie qui pourrait leur parven</w:t>
      </w:r>
      <w:r w:rsidR="00B66A03">
        <w:rPr>
          <w:rFonts w:ascii="Calibri" w:hAnsi="Calibri"/>
          <w:color w:val="auto"/>
          <w:sz w:val="22"/>
          <w:szCs w:val="22"/>
        </w:rPr>
        <w:t>ir à l'occasion de l'exécution de</w:t>
      </w:r>
      <w:r w:rsidR="00FF2A53" w:rsidRPr="002769F6">
        <w:rPr>
          <w:rFonts w:ascii="Calibri" w:hAnsi="Calibri"/>
          <w:color w:val="auto"/>
          <w:sz w:val="22"/>
          <w:szCs w:val="22"/>
        </w:rPr>
        <w:t>s marché</w:t>
      </w:r>
      <w:r w:rsidRPr="002769F6">
        <w:rPr>
          <w:rFonts w:ascii="Calibri" w:hAnsi="Calibri"/>
          <w:color w:val="auto"/>
          <w:sz w:val="22"/>
          <w:szCs w:val="22"/>
        </w:rPr>
        <w:t xml:space="preserve">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Les données de comptage sont propriété du client, confidentielles, et ne peuvent donc, en aucun cas, être communiquées à une tierce personne.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Les règles de confidentialité des GRD sont </w:t>
      </w:r>
      <w:r w:rsidR="00B66A03">
        <w:rPr>
          <w:rFonts w:ascii="Calibri" w:hAnsi="Calibri"/>
          <w:color w:val="auto"/>
          <w:sz w:val="22"/>
          <w:szCs w:val="22"/>
        </w:rPr>
        <w:t>applicables et opposables dans s</w:t>
      </w:r>
      <w:r w:rsidRPr="002769F6">
        <w:rPr>
          <w:rFonts w:ascii="Calibri" w:hAnsi="Calibri"/>
          <w:color w:val="auto"/>
          <w:sz w:val="22"/>
          <w:szCs w:val="22"/>
        </w:rPr>
        <w:t xml:space="preserve">es marchés. </w:t>
      </w:r>
    </w:p>
    <w:p w:rsidR="00B05F02" w:rsidRDefault="00B05F02" w:rsidP="00AE4BA3">
      <w:pPr>
        <w:pStyle w:val="Default"/>
        <w:jc w:val="both"/>
        <w:rPr>
          <w:rFonts w:ascii="Calibri" w:hAnsi="Calibri"/>
          <w:color w:val="auto"/>
          <w:sz w:val="22"/>
          <w:szCs w:val="22"/>
        </w:rPr>
      </w:pPr>
    </w:p>
    <w:p w:rsidR="002769F6" w:rsidRPr="009C08D0" w:rsidRDefault="002769F6" w:rsidP="009C08D0">
      <w:pPr>
        <w:pStyle w:val="Titre1"/>
        <w:rPr>
          <w:color w:val="auto"/>
        </w:rPr>
      </w:pPr>
      <w:r w:rsidRPr="009C08D0">
        <w:rPr>
          <w:color w:val="auto"/>
          <w:sz w:val="22"/>
          <w:szCs w:val="22"/>
        </w:rPr>
        <w:t xml:space="preserve"> </w:t>
      </w:r>
      <w:bookmarkStart w:id="30" w:name="_Toc434355946"/>
      <w:r w:rsidRPr="009C08D0">
        <w:rPr>
          <w:color w:val="auto"/>
        </w:rPr>
        <w:t>ARTICLE 1</w:t>
      </w:r>
      <w:r w:rsidR="00B05F02" w:rsidRPr="009C08D0">
        <w:rPr>
          <w:color w:val="auto"/>
        </w:rPr>
        <w:t>0</w:t>
      </w:r>
      <w:r w:rsidRPr="009C08D0">
        <w:rPr>
          <w:color w:val="auto"/>
        </w:rPr>
        <w:t xml:space="preserve"> : RESILIATION</w:t>
      </w:r>
      <w:bookmarkEnd w:id="30"/>
      <w:r w:rsidRPr="009C08D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FE5311" w:rsidP="00AE4BA3">
      <w:pPr>
        <w:pStyle w:val="Default"/>
        <w:jc w:val="both"/>
        <w:rPr>
          <w:rFonts w:ascii="Calibri" w:hAnsi="Calibri"/>
          <w:color w:val="auto"/>
          <w:sz w:val="22"/>
          <w:szCs w:val="22"/>
        </w:rPr>
      </w:pPr>
      <w:r w:rsidRPr="00FE5311">
        <w:rPr>
          <w:rFonts w:ascii="Calibri" w:hAnsi="Calibri"/>
          <w:color w:val="auto"/>
          <w:sz w:val="22"/>
          <w:szCs w:val="22"/>
        </w:rPr>
        <w:t>Le p</w:t>
      </w:r>
      <w:r w:rsidR="00E70F44" w:rsidRPr="00FE5311">
        <w:rPr>
          <w:rFonts w:ascii="Calibri" w:hAnsi="Calibri"/>
          <w:color w:val="auto"/>
          <w:sz w:val="22"/>
          <w:szCs w:val="22"/>
        </w:rPr>
        <w:t>ouvoir adjudicateur</w:t>
      </w:r>
      <w:r w:rsidR="00E70F44">
        <w:rPr>
          <w:rFonts w:ascii="Calibri" w:hAnsi="Calibri"/>
          <w:color w:val="auto"/>
          <w:sz w:val="22"/>
          <w:szCs w:val="22"/>
        </w:rPr>
        <w:t xml:space="preserve"> </w:t>
      </w:r>
      <w:r w:rsidR="002769F6" w:rsidRPr="002769F6">
        <w:rPr>
          <w:rFonts w:ascii="Calibri" w:hAnsi="Calibri"/>
          <w:color w:val="auto"/>
          <w:sz w:val="22"/>
          <w:szCs w:val="22"/>
        </w:rPr>
        <w:t>peut mettre fin à l’exécution des prestations fa</w:t>
      </w:r>
      <w:r w:rsidR="006C37F7" w:rsidRPr="002769F6">
        <w:rPr>
          <w:rFonts w:ascii="Calibri" w:hAnsi="Calibri"/>
          <w:color w:val="auto"/>
          <w:sz w:val="22"/>
          <w:szCs w:val="22"/>
        </w:rPr>
        <w:t xml:space="preserve">isant l’objet du marché </w:t>
      </w:r>
      <w:r w:rsidR="002769F6" w:rsidRPr="002769F6">
        <w:rPr>
          <w:rFonts w:ascii="Calibri" w:hAnsi="Calibri"/>
          <w:color w:val="auto"/>
          <w:sz w:val="22"/>
          <w:szCs w:val="22"/>
        </w:rPr>
        <w:t xml:space="preserve">avant l’achèvement de celles-ci, soit pour faute du ou d’un titulaire dans les conditions prévues à l’article 32 du CCAG/FCS, soit dans le cas de circonstances particulières mentionnées à l’article 30 du CCAG/FCS.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La décision de résiliation du marché es</w:t>
      </w:r>
      <w:r w:rsidR="00F45B07">
        <w:rPr>
          <w:rFonts w:ascii="Calibri" w:hAnsi="Calibri"/>
          <w:color w:val="auto"/>
          <w:sz w:val="22"/>
          <w:szCs w:val="22"/>
        </w:rPr>
        <w:t xml:space="preserve">t </w:t>
      </w:r>
      <w:r w:rsidR="00F45B07" w:rsidRPr="00F45B07">
        <w:rPr>
          <w:rFonts w:ascii="Calibri" w:hAnsi="Calibri"/>
          <w:color w:val="auto"/>
          <w:sz w:val="22"/>
          <w:szCs w:val="22"/>
        </w:rPr>
        <w:t xml:space="preserve">notifiée </w:t>
      </w:r>
      <w:r w:rsidR="000D3BBB" w:rsidRPr="00F45B07">
        <w:rPr>
          <w:rFonts w:ascii="Calibri" w:hAnsi="Calibri"/>
          <w:color w:val="auto"/>
          <w:sz w:val="22"/>
          <w:szCs w:val="22"/>
        </w:rPr>
        <w:t xml:space="preserve">au </w:t>
      </w:r>
      <w:r w:rsidRPr="00F45B07">
        <w:rPr>
          <w:rFonts w:ascii="Calibri" w:hAnsi="Calibri"/>
          <w:color w:val="auto"/>
          <w:sz w:val="22"/>
          <w:szCs w:val="22"/>
        </w:rPr>
        <w:t>titulaire concerné</w:t>
      </w:r>
      <w:r w:rsidRPr="002769F6">
        <w:rPr>
          <w:rFonts w:ascii="Calibri" w:hAnsi="Calibri"/>
          <w:color w:val="auto"/>
          <w:sz w:val="22"/>
          <w:szCs w:val="22"/>
        </w:rPr>
        <w:t xml:space="preserve">. Sous réserve des dispositions particulières mentionnées ci-après, la résiliation prend effet à la date fixée </w:t>
      </w:r>
      <w:r w:rsidR="00B66A03">
        <w:rPr>
          <w:rFonts w:ascii="Calibri" w:hAnsi="Calibri"/>
          <w:color w:val="auto"/>
          <w:sz w:val="22"/>
          <w:szCs w:val="22"/>
        </w:rPr>
        <w:t>dans la décision de résiliation</w:t>
      </w:r>
      <w:r w:rsidRPr="002769F6">
        <w:rPr>
          <w:rFonts w:ascii="Calibri" w:hAnsi="Calibri"/>
          <w:color w:val="auto"/>
          <w:sz w:val="22"/>
          <w:szCs w:val="22"/>
        </w:rPr>
        <w:t xml:space="preserve"> ou</w:t>
      </w:r>
      <w:r w:rsidR="00B66A03">
        <w:rPr>
          <w:rFonts w:ascii="Calibri" w:hAnsi="Calibri"/>
          <w:color w:val="auto"/>
          <w:sz w:val="22"/>
          <w:szCs w:val="22"/>
        </w:rPr>
        <w:t>,</w:t>
      </w:r>
      <w:r w:rsidRPr="002769F6">
        <w:rPr>
          <w:rFonts w:ascii="Calibri" w:hAnsi="Calibri"/>
          <w:color w:val="auto"/>
          <w:sz w:val="22"/>
          <w:szCs w:val="22"/>
        </w:rPr>
        <w:t xml:space="preserve"> à défaut, à la date de sa notification. </w:t>
      </w:r>
    </w:p>
    <w:p w:rsidR="002769F6" w:rsidRPr="002769F6" w:rsidRDefault="002769F6" w:rsidP="00AE4BA3">
      <w:pPr>
        <w:pStyle w:val="Default"/>
        <w:jc w:val="both"/>
        <w:rPr>
          <w:rFonts w:ascii="Calibri" w:hAnsi="Calibri"/>
          <w:color w:val="auto"/>
          <w:sz w:val="22"/>
          <w:szCs w:val="22"/>
        </w:rPr>
      </w:pP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L</w:t>
      </w:r>
      <w:r w:rsidR="006C37F7" w:rsidRPr="002769F6">
        <w:rPr>
          <w:rFonts w:ascii="Calibri" w:hAnsi="Calibri"/>
          <w:color w:val="auto"/>
          <w:sz w:val="22"/>
          <w:szCs w:val="22"/>
        </w:rPr>
        <w:t>a résiliation d’un marché n</w:t>
      </w:r>
      <w:r w:rsidRPr="002769F6">
        <w:rPr>
          <w:rFonts w:ascii="Calibri" w:hAnsi="Calibri"/>
          <w:color w:val="auto"/>
          <w:sz w:val="22"/>
          <w:szCs w:val="22"/>
        </w:rPr>
        <w:t>otifié</w:t>
      </w:r>
      <w:r w:rsidR="006C37F7" w:rsidRPr="002769F6">
        <w:rPr>
          <w:rFonts w:ascii="Calibri" w:hAnsi="Calibri"/>
          <w:color w:val="auto"/>
          <w:sz w:val="22"/>
          <w:szCs w:val="22"/>
        </w:rPr>
        <w:t>e</w:t>
      </w:r>
      <w:r w:rsidRPr="002769F6">
        <w:rPr>
          <w:rFonts w:ascii="Calibri" w:hAnsi="Calibri"/>
          <w:color w:val="auto"/>
          <w:sz w:val="22"/>
          <w:szCs w:val="22"/>
        </w:rPr>
        <w:t xml:space="preserve"> à l’un des titulaires n’entraîne pas d</w:t>
      </w:r>
      <w:r w:rsidR="006C37F7" w:rsidRPr="002769F6">
        <w:rPr>
          <w:rFonts w:ascii="Calibri" w:hAnsi="Calibri"/>
          <w:color w:val="auto"/>
          <w:sz w:val="22"/>
          <w:szCs w:val="22"/>
        </w:rPr>
        <w:t xml:space="preserve">e plein droit la résiliation du marché </w:t>
      </w:r>
      <w:r w:rsidRPr="002769F6">
        <w:rPr>
          <w:rFonts w:ascii="Calibri" w:hAnsi="Calibri"/>
          <w:color w:val="auto"/>
          <w:sz w:val="22"/>
          <w:szCs w:val="22"/>
        </w:rPr>
        <w:t xml:space="preserve">en ce qui concerne les autres titulaires.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7A7F50">
      <w:pPr>
        <w:pStyle w:val="Titre2"/>
        <w:rPr>
          <w:color w:val="969696" w:themeColor="accent3"/>
        </w:rPr>
      </w:pPr>
      <w:bookmarkStart w:id="31" w:name="_Toc434355947"/>
      <w:r w:rsidRPr="009C08D0">
        <w:rPr>
          <w:color w:val="969696" w:themeColor="accent3"/>
        </w:rPr>
        <w:t>1</w:t>
      </w:r>
      <w:r w:rsidR="00B05F02" w:rsidRPr="009C08D0">
        <w:rPr>
          <w:color w:val="969696" w:themeColor="accent3"/>
        </w:rPr>
        <w:t>0</w:t>
      </w:r>
      <w:r w:rsidR="009C08D0" w:rsidRPr="009C08D0">
        <w:rPr>
          <w:color w:val="969696" w:themeColor="accent3"/>
        </w:rPr>
        <w:t xml:space="preserve">.1. </w:t>
      </w:r>
      <w:r w:rsidRPr="009C08D0">
        <w:rPr>
          <w:color w:val="969696" w:themeColor="accent3"/>
        </w:rPr>
        <w:t>Pour inexactitude des renseignements</w:t>
      </w:r>
      <w:bookmarkEnd w:id="31"/>
      <w:r w:rsidRPr="009C08D0">
        <w:rPr>
          <w:color w:val="969696" w:themeColor="accent3"/>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Conformément aux dispositions de l’article 47 du Code des marchés publics, </w:t>
      </w:r>
      <w:r w:rsidR="006C37F7" w:rsidRPr="002769F6">
        <w:rPr>
          <w:rFonts w:ascii="Calibri" w:hAnsi="Calibri"/>
          <w:color w:val="auto"/>
          <w:sz w:val="22"/>
          <w:szCs w:val="22"/>
        </w:rPr>
        <w:t>le marché</w:t>
      </w:r>
      <w:r w:rsidRPr="002769F6">
        <w:rPr>
          <w:rFonts w:ascii="Calibri" w:hAnsi="Calibri"/>
          <w:color w:val="auto"/>
          <w:sz w:val="22"/>
          <w:szCs w:val="22"/>
        </w:rPr>
        <w:t xml:space="preserve"> est résilié aux torts du titulaire en cas d’inexactitude des documents et renseignements mentionnés aux articles 44 et 46 ou de refus de produire les pièces prévues aux articles D.8222-5 ou D.8222-7 et D.8222-8 du code du travail conformément au 1° de l’article 46.I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7A7F50">
      <w:pPr>
        <w:pStyle w:val="Titre2"/>
        <w:rPr>
          <w:color w:val="969696" w:themeColor="accent3"/>
        </w:rPr>
      </w:pPr>
      <w:bookmarkStart w:id="32" w:name="_Toc434355948"/>
      <w:r w:rsidRPr="009C08D0">
        <w:rPr>
          <w:color w:val="969696" w:themeColor="accent3"/>
        </w:rPr>
        <w:t>1</w:t>
      </w:r>
      <w:r w:rsidR="00B05F02" w:rsidRPr="009C08D0">
        <w:rPr>
          <w:color w:val="969696" w:themeColor="accent3"/>
        </w:rPr>
        <w:t>0</w:t>
      </w:r>
      <w:r w:rsidR="009C08D0" w:rsidRPr="009C08D0">
        <w:rPr>
          <w:color w:val="969696" w:themeColor="accent3"/>
        </w:rPr>
        <w:t xml:space="preserve">.2. </w:t>
      </w:r>
      <w:r w:rsidRPr="009C08D0">
        <w:rPr>
          <w:color w:val="969696" w:themeColor="accent3"/>
        </w:rPr>
        <w:t>Pour refus d’engagement à un marché</w:t>
      </w:r>
      <w:bookmarkEnd w:id="32"/>
      <w:r w:rsidRPr="009C08D0">
        <w:rPr>
          <w:color w:val="969696" w:themeColor="accent3"/>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F45B07"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titulaire </w:t>
      </w:r>
      <w:r w:rsidRPr="00F45B07">
        <w:rPr>
          <w:rFonts w:ascii="Calibri" w:hAnsi="Calibri"/>
          <w:color w:val="auto"/>
          <w:sz w:val="22"/>
          <w:szCs w:val="22"/>
        </w:rPr>
        <w:t>s’engage à signer l</w:t>
      </w:r>
      <w:r w:rsidR="007E0CBB" w:rsidRPr="00F45B07">
        <w:rPr>
          <w:rFonts w:ascii="Calibri" w:hAnsi="Calibri"/>
          <w:color w:val="auto"/>
          <w:sz w:val="22"/>
          <w:szCs w:val="22"/>
        </w:rPr>
        <w:t>e marché prévu</w:t>
      </w:r>
      <w:r w:rsidR="006C37F7" w:rsidRPr="00F45B07">
        <w:rPr>
          <w:rFonts w:ascii="Calibri" w:hAnsi="Calibri"/>
          <w:color w:val="auto"/>
          <w:sz w:val="22"/>
          <w:szCs w:val="22"/>
        </w:rPr>
        <w:t xml:space="preserve"> par l’</w:t>
      </w:r>
      <w:r w:rsidR="007D6F61">
        <w:rPr>
          <w:rFonts w:ascii="Calibri" w:hAnsi="Calibri"/>
          <w:color w:val="auto"/>
          <w:sz w:val="22"/>
          <w:szCs w:val="22"/>
        </w:rPr>
        <w:t>A</w:t>
      </w:r>
      <w:r w:rsidR="00FF2A53" w:rsidRPr="00F45B07">
        <w:rPr>
          <w:rFonts w:ascii="Calibri" w:hAnsi="Calibri"/>
          <w:color w:val="auto"/>
          <w:sz w:val="22"/>
          <w:szCs w:val="22"/>
        </w:rPr>
        <w:t>cte d’</w:t>
      </w:r>
      <w:r w:rsidR="007D6F61">
        <w:rPr>
          <w:rFonts w:ascii="Calibri" w:hAnsi="Calibri"/>
          <w:color w:val="auto"/>
          <w:sz w:val="22"/>
          <w:szCs w:val="22"/>
        </w:rPr>
        <w:t>E</w:t>
      </w:r>
      <w:r w:rsidR="00FF2A53" w:rsidRPr="00F45B07">
        <w:rPr>
          <w:rFonts w:ascii="Calibri" w:hAnsi="Calibri"/>
          <w:color w:val="auto"/>
          <w:sz w:val="22"/>
          <w:szCs w:val="22"/>
        </w:rPr>
        <w:t xml:space="preserve">ngagement </w:t>
      </w:r>
      <w:r w:rsidR="00F45B07" w:rsidRPr="00F45B07">
        <w:rPr>
          <w:rFonts w:ascii="Calibri" w:hAnsi="Calibri"/>
          <w:color w:val="auto"/>
          <w:sz w:val="22"/>
          <w:szCs w:val="22"/>
        </w:rPr>
        <w:t xml:space="preserve">avec </w:t>
      </w:r>
      <w:r w:rsidR="007E77ED" w:rsidRPr="00F45B07">
        <w:rPr>
          <w:rFonts w:ascii="Calibri" w:hAnsi="Calibri"/>
          <w:color w:val="auto"/>
          <w:sz w:val="22"/>
          <w:szCs w:val="22"/>
        </w:rPr>
        <w:t xml:space="preserve">le représentant de </w:t>
      </w:r>
      <w:r w:rsidR="00B66A03">
        <w:rPr>
          <w:rFonts w:ascii="Calibri" w:hAnsi="Calibri"/>
          <w:color w:val="auto"/>
          <w:sz w:val="22"/>
          <w:szCs w:val="22"/>
        </w:rPr>
        <w:t xml:space="preserve">la mairie de </w:t>
      </w:r>
      <w:r w:rsidR="00A90672">
        <w:rPr>
          <w:rFonts w:ascii="Calibri" w:hAnsi="Calibri"/>
          <w:sz w:val="22"/>
        </w:rPr>
        <w:t>Gouesnou</w:t>
      </w:r>
      <w:r w:rsidRPr="00F45B07">
        <w:rPr>
          <w:rFonts w:ascii="Calibri" w:hAnsi="Calibri"/>
          <w:color w:val="auto"/>
          <w:sz w:val="22"/>
          <w:szCs w:val="22"/>
        </w:rPr>
        <w:t>, dans les délais indiqués.</w:t>
      </w:r>
    </w:p>
    <w:p w:rsidR="002769F6" w:rsidRPr="00F45B07" w:rsidRDefault="002769F6" w:rsidP="00AE4BA3">
      <w:pPr>
        <w:pStyle w:val="Default"/>
        <w:jc w:val="both"/>
        <w:rPr>
          <w:rFonts w:ascii="Calibri" w:hAnsi="Calibri"/>
          <w:color w:val="auto"/>
          <w:sz w:val="22"/>
          <w:szCs w:val="22"/>
        </w:rPr>
      </w:pPr>
      <w:r w:rsidRPr="00F45B07">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FE5311">
        <w:rPr>
          <w:rFonts w:ascii="Calibri" w:hAnsi="Calibri"/>
          <w:color w:val="auto"/>
          <w:sz w:val="22"/>
          <w:szCs w:val="22"/>
        </w:rPr>
        <w:t xml:space="preserve">Le </w:t>
      </w:r>
      <w:r w:rsidR="00FE5311" w:rsidRPr="00FE5311">
        <w:rPr>
          <w:rFonts w:ascii="Calibri" w:hAnsi="Calibri"/>
          <w:color w:val="auto"/>
          <w:sz w:val="22"/>
          <w:szCs w:val="22"/>
        </w:rPr>
        <w:t>p</w:t>
      </w:r>
      <w:r w:rsidR="00E70F44" w:rsidRPr="00FE5311">
        <w:rPr>
          <w:rFonts w:ascii="Calibri" w:hAnsi="Calibri"/>
          <w:color w:val="auto"/>
          <w:sz w:val="22"/>
          <w:szCs w:val="22"/>
        </w:rPr>
        <w:t xml:space="preserve">ouvoir adjudicateur </w:t>
      </w:r>
      <w:r w:rsidRPr="00FE5311">
        <w:rPr>
          <w:rFonts w:ascii="Calibri" w:hAnsi="Calibri"/>
          <w:color w:val="auto"/>
          <w:sz w:val="22"/>
          <w:szCs w:val="22"/>
        </w:rPr>
        <w:t>peut</w:t>
      </w:r>
      <w:r w:rsidRPr="002769F6">
        <w:rPr>
          <w:rFonts w:ascii="Calibri" w:hAnsi="Calibri"/>
          <w:color w:val="auto"/>
          <w:sz w:val="22"/>
          <w:szCs w:val="22"/>
        </w:rPr>
        <w:t xml:space="preserve"> prononcer, sa</w:t>
      </w:r>
      <w:r w:rsidR="006C37F7" w:rsidRPr="002769F6">
        <w:rPr>
          <w:rFonts w:ascii="Calibri" w:hAnsi="Calibri"/>
          <w:color w:val="auto"/>
          <w:sz w:val="22"/>
          <w:szCs w:val="22"/>
        </w:rPr>
        <w:t xml:space="preserve">ns indemnité, la résiliation d’un marché </w:t>
      </w:r>
      <w:r w:rsidRPr="002769F6">
        <w:rPr>
          <w:rFonts w:ascii="Calibri" w:hAnsi="Calibri"/>
          <w:color w:val="auto"/>
          <w:sz w:val="22"/>
          <w:szCs w:val="22"/>
        </w:rPr>
        <w:t xml:space="preserve">vis-à-vis du titulaire qui refuserait de signer un marché.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lastRenderedPageBreak/>
        <w:t xml:space="preserve"> </w:t>
      </w:r>
    </w:p>
    <w:p w:rsidR="002769F6" w:rsidRPr="009C08D0" w:rsidRDefault="002769F6" w:rsidP="007A7F50">
      <w:pPr>
        <w:pStyle w:val="Titre2"/>
        <w:rPr>
          <w:color w:val="969696" w:themeColor="accent3"/>
        </w:rPr>
      </w:pPr>
      <w:bookmarkStart w:id="33" w:name="_Toc434355949"/>
      <w:r w:rsidRPr="009C08D0">
        <w:rPr>
          <w:color w:val="969696" w:themeColor="accent3"/>
        </w:rPr>
        <w:t>1</w:t>
      </w:r>
      <w:r w:rsidR="00B05F02" w:rsidRPr="009C08D0">
        <w:rPr>
          <w:color w:val="969696" w:themeColor="accent3"/>
        </w:rPr>
        <w:t>0</w:t>
      </w:r>
      <w:r w:rsidR="009C08D0">
        <w:rPr>
          <w:color w:val="969696" w:themeColor="accent3"/>
        </w:rPr>
        <w:t xml:space="preserve">.3. </w:t>
      </w:r>
      <w:r w:rsidRPr="009C08D0">
        <w:rPr>
          <w:color w:val="969696" w:themeColor="accent3"/>
        </w:rPr>
        <w:t>Pour mauvaise exécution de marché</w:t>
      </w:r>
      <w:bookmarkEnd w:id="33"/>
      <w:r w:rsidRPr="009C08D0">
        <w:rPr>
          <w:color w:val="969696" w:themeColor="accent3"/>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CF1B83" w:rsidP="00AE4BA3">
      <w:pPr>
        <w:pStyle w:val="Default"/>
        <w:jc w:val="both"/>
        <w:rPr>
          <w:rFonts w:ascii="Calibri" w:hAnsi="Calibri"/>
          <w:color w:val="auto"/>
          <w:sz w:val="22"/>
          <w:szCs w:val="22"/>
        </w:rPr>
      </w:pPr>
      <w:r w:rsidRPr="002769F6">
        <w:rPr>
          <w:rFonts w:ascii="Calibri" w:hAnsi="Calibri"/>
          <w:color w:val="auto"/>
          <w:sz w:val="22"/>
          <w:szCs w:val="22"/>
        </w:rPr>
        <w:t xml:space="preserve">Le </w:t>
      </w:r>
      <w:r w:rsidR="00FE5311" w:rsidRPr="00FE5311">
        <w:rPr>
          <w:rFonts w:ascii="Calibri" w:hAnsi="Calibri"/>
          <w:color w:val="auto"/>
          <w:sz w:val="22"/>
          <w:szCs w:val="22"/>
        </w:rPr>
        <w:t>p</w:t>
      </w:r>
      <w:r w:rsidRPr="00FE5311">
        <w:rPr>
          <w:rFonts w:ascii="Calibri" w:hAnsi="Calibri"/>
          <w:color w:val="auto"/>
          <w:sz w:val="22"/>
          <w:szCs w:val="22"/>
        </w:rPr>
        <w:t xml:space="preserve">ouvoir adjudicateur </w:t>
      </w:r>
      <w:r w:rsidR="002769F6" w:rsidRPr="00FE5311">
        <w:rPr>
          <w:rFonts w:ascii="Calibri" w:hAnsi="Calibri"/>
          <w:color w:val="auto"/>
          <w:sz w:val="22"/>
          <w:szCs w:val="22"/>
        </w:rPr>
        <w:t>peut</w:t>
      </w:r>
      <w:r w:rsidR="002769F6" w:rsidRPr="002769F6">
        <w:rPr>
          <w:rFonts w:ascii="Calibri" w:hAnsi="Calibri"/>
          <w:color w:val="auto"/>
          <w:sz w:val="22"/>
          <w:szCs w:val="22"/>
        </w:rPr>
        <w:t xml:space="preserve"> prononcer, sans indemnité, la résiliation du marché du titulaire concerné.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Les interruptions répétées de continuité du service sont assimilées à une exécution </w:t>
      </w:r>
      <w:r w:rsidR="004B5C54" w:rsidRPr="002769F6">
        <w:rPr>
          <w:rFonts w:ascii="Calibri" w:hAnsi="Calibri"/>
          <w:color w:val="auto"/>
          <w:sz w:val="22"/>
          <w:szCs w:val="22"/>
        </w:rPr>
        <w:t>incomplète du marché.</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Une exécution incomplète est assimilée à une non-exécution, sauf pour le titulaire à justifier des raisons de force majeure qui s’opposent à bonne et entière exécution des prestations.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9C08D0">
      <w:pPr>
        <w:pStyle w:val="Titre1"/>
        <w:rPr>
          <w:color w:val="auto"/>
        </w:rPr>
      </w:pPr>
      <w:bookmarkStart w:id="34" w:name="_Toc434355950"/>
      <w:r w:rsidRPr="009C08D0">
        <w:rPr>
          <w:color w:val="auto"/>
        </w:rPr>
        <w:t>ARTICLE 1</w:t>
      </w:r>
      <w:r w:rsidR="00900AD3" w:rsidRPr="009C08D0">
        <w:rPr>
          <w:color w:val="auto"/>
        </w:rPr>
        <w:t>1</w:t>
      </w:r>
      <w:r w:rsidRPr="009C08D0">
        <w:rPr>
          <w:color w:val="auto"/>
        </w:rPr>
        <w:t xml:space="preserve"> : CLAUSES DE SURETE ET DE FINANCEMENT</w:t>
      </w:r>
      <w:bookmarkEnd w:id="34"/>
      <w:r w:rsidRPr="009C08D0">
        <w:rPr>
          <w:color w:val="auto"/>
        </w:rPr>
        <w:t xml:space="preserve"> </w:t>
      </w:r>
    </w:p>
    <w:p w:rsidR="002769F6" w:rsidRPr="002769F6" w:rsidRDefault="002769F6" w:rsidP="00AE4BA3">
      <w:pPr>
        <w:pStyle w:val="Default"/>
        <w:jc w:val="both"/>
        <w:rPr>
          <w:rFonts w:ascii="Calibri" w:hAnsi="Calibri"/>
          <w:color w:val="auto"/>
        </w:rPr>
      </w:pPr>
      <w:r w:rsidRPr="002769F6">
        <w:rPr>
          <w:rFonts w:ascii="Calibri" w:hAnsi="Calibri"/>
          <w:b/>
          <w:bCs/>
          <w:color w:val="auto"/>
        </w:rPr>
        <w:t xml:space="preserve"> </w:t>
      </w:r>
    </w:p>
    <w:p w:rsidR="002769F6" w:rsidRPr="009C08D0" w:rsidRDefault="002769F6" w:rsidP="007A7F50">
      <w:pPr>
        <w:pStyle w:val="Titre2"/>
        <w:rPr>
          <w:color w:val="969696" w:themeColor="accent3"/>
        </w:rPr>
      </w:pPr>
      <w:bookmarkStart w:id="35" w:name="_Toc434355951"/>
      <w:r w:rsidRPr="009C08D0">
        <w:rPr>
          <w:color w:val="969696" w:themeColor="accent3"/>
        </w:rPr>
        <w:t>1</w:t>
      </w:r>
      <w:r w:rsidR="00900AD3" w:rsidRPr="009C08D0">
        <w:rPr>
          <w:color w:val="969696" w:themeColor="accent3"/>
        </w:rPr>
        <w:t>1</w:t>
      </w:r>
      <w:r w:rsidR="009C08D0" w:rsidRPr="009C08D0">
        <w:rPr>
          <w:color w:val="969696" w:themeColor="accent3"/>
        </w:rPr>
        <w:t xml:space="preserve">.1. </w:t>
      </w:r>
      <w:r w:rsidRPr="009C08D0">
        <w:rPr>
          <w:color w:val="969696" w:themeColor="accent3"/>
        </w:rPr>
        <w:t>Garanties</w:t>
      </w:r>
      <w:bookmarkEnd w:id="35"/>
      <w:r w:rsidRPr="009C08D0">
        <w:rPr>
          <w:color w:val="969696" w:themeColor="accent3"/>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Il ne sera pas pratiqué de retenue de garantie.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7A7F50">
      <w:pPr>
        <w:pStyle w:val="Titre2"/>
        <w:rPr>
          <w:color w:val="969696" w:themeColor="accent3"/>
        </w:rPr>
      </w:pPr>
      <w:bookmarkStart w:id="36" w:name="_Toc434355952"/>
      <w:r w:rsidRPr="009C08D0">
        <w:rPr>
          <w:color w:val="969696" w:themeColor="accent3"/>
        </w:rPr>
        <w:t>1</w:t>
      </w:r>
      <w:r w:rsidR="00900AD3" w:rsidRPr="009C08D0">
        <w:rPr>
          <w:color w:val="969696" w:themeColor="accent3"/>
        </w:rPr>
        <w:t>1</w:t>
      </w:r>
      <w:r w:rsidR="009C08D0" w:rsidRPr="009C08D0">
        <w:rPr>
          <w:color w:val="969696" w:themeColor="accent3"/>
        </w:rPr>
        <w:t xml:space="preserve">.2. </w:t>
      </w:r>
      <w:r w:rsidRPr="009C08D0">
        <w:rPr>
          <w:color w:val="969696" w:themeColor="accent3"/>
        </w:rPr>
        <w:t>Avances</w:t>
      </w:r>
      <w:bookmarkEnd w:id="36"/>
      <w:r w:rsidRPr="009C08D0">
        <w:rPr>
          <w:color w:val="969696" w:themeColor="accent3"/>
        </w:rPr>
        <w:t xml:space="preserve"> </w:t>
      </w:r>
    </w:p>
    <w:p w:rsidR="009C08D0" w:rsidRDefault="009C08D0" w:rsidP="00AE4BA3">
      <w:pPr>
        <w:pStyle w:val="Default"/>
        <w:jc w:val="both"/>
        <w:rPr>
          <w:rFonts w:ascii="Calibri" w:hAnsi="Calibri"/>
          <w:color w:val="auto"/>
          <w:sz w:val="22"/>
          <w:szCs w:val="22"/>
        </w:rPr>
      </w:pP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Il n’est pas prévu d’avance facultative. </w:t>
      </w:r>
    </w:p>
    <w:p w:rsidR="0010766C" w:rsidRDefault="0010766C" w:rsidP="00AE4BA3">
      <w:pPr>
        <w:pStyle w:val="Default"/>
        <w:jc w:val="both"/>
        <w:rPr>
          <w:rFonts w:ascii="Calibri" w:hAnsi="Calibri"/>
          <w:b/>
          <w:bCs/>
          <w:color w:val="auto"/>
          <w:sz w:val="28"/>
          <w:szCs w:val="28"/>
        </w:rPr>
      </w:pPr>
    </w:p>
    <w:p w:rsidR="002769F6" w:rsidRPr="009C08D0" w:rsidRDefault="002769F6" w:rsidP="009C08D0">
      <w:pPr>
        <w:pStyle w:val="Titre1"/>
        <w:rPr>
          <w:color w:val="auto"/>
        </w:rPr>
      </w:pPr>
      <w:bookmarkStart w:id="37" w:name="_Toc434355953"/>
      <w:r w:rsidRPr="009C08D0">
        <w:rPr>
          <w:color w:val="auto"/>
        </w:rPr>
        <w:t>ARTICLE 1</w:t>
      </w:r>
      <w:r w:rsidR="00900AD3" w:rsidRPr="009C08D0">
        <w:rPr>
          <w:color w:val="auto"/>
        </w:rPr>
        <w:t>2</w:t>
      </w:r>
      <w:r w:rsidRPr="009C08D0">
        <w:rPr>
          <w:color w:val="auto"/>
        </w:rPr>
        <w:t xml:space="preserve"> : SOUS TRAITANCE</w:t>
      </w:r>
      <w:bookmarkEnd w:id="37"/>
      <w:r w:rsidRPr="009C08D0">
        <w:rPr>
          <w:color w:val="auto"/>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La sous-traitance est interdite.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9C08D0" w:rsidRDefault="002769F6" w:rsidP="009C08D0">
      <w:pPr>
        <w:pStyle w:val="Titre1"/>
        <w:rPr>
          <w:color w:val="auto"/>
        </w:rPr>
      </w:pPr>
      <w:bookmarkStart w:id="38" w:name="_Toc434355954"/>
      <w:r w:rsidRPr="009C08D0">
        <w:rPr>
          <w:color w:val="auto"/>
        </w:rPr>
        <w:t>ARTICLE 1</w:t>
      </w:r>
      <w:r w:rsidR="00900AD3" w:rsidRPr="009C08D0">
        <w:rPr>
          <w:color w:val="auto"/>
        </w:rPr>
        <w:t>3</w:t>
      </w:r>
      <w:r w:rsidRPr="009C08D0">
        <w:rPr>
          <w:color w:val="auto"/>
        </w:rPr>
        <w:t xml:space="preserve"> : DROIT, LANGUE ET MONNAIE</w:t>
      </w:r>
      <w:bookmarkEnd w:id="38"/>
      <w:r w:rsidRPr="009C08D0">
        <w:rPr>
          <w:color w:val="auto"/>
        </w:rPr>
        <w:t xml:space="preserve"> </w:t>
      </w:r>
    </w:p>
    <w:p w:rsidR="002769F6" w:rsidRPr="002769F6" w:rsidRDefault="002769F6" w:rsidP="00AE4BA3">
      <w:pPr>
        <w:pStyle w:val="Default"/>
        <w:jc w:val="both"/>
        <w:rPr>
          <w:rFonts w:ascii="Calibri" w:hAnsi="Calibri" w:cs="Times New Roman"/>
          <w:color w:val="auto"/>
          <w:sz w:val="20"/>
          <w:szCs w:val="20"/>
        </w:rPr>
      </w:pPr>
      <w:r w:rsidRPr="002769F6">
        <w:rPr>
          <w:rFonts w:ascii="Calibri" w:hAnsi="Calibri" w:cs="Times New Roman"/>
          <w:color w:val="auto"/>
          <w:sz w:val="20"/>
          <w:szCs w:val="20"/>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 droit français est seul applicable aux </w:t>
      </w:r>
      <w:r w:rsidR="004B5C54" w:rsidRPr="002769F6">
        <w:rPr>
          <w:rFonts w:ascii="Calibri" w:hAnsi="Calibri"/>
          <w:color w:val="auto"/>
          <w:sz w:val="22"/>
          <w:szCs w:val="22"/>
        </w:rPr>
        <w:t>présents marchés</w:t>
      </w: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447F9F" w:rsidRDefault="002769F6" w:rsidP="007D6F61">
      <w:pPr>
        <w:pStyle w:val="Default"/>
        <w:rPr>
          <w:rFonts w:ascii="Calibri" w:hAnsi="Calibri"/>
          <w:color w:val="auto"/>
          <w:sz w:val="22"/>
          <w:szCs w:val="22"/>
        </w:rPr>
      </w:pPr>
      <w:r w:rsidRPr="002769F6">
        <w:rPr>
          <w:rFonts w:ascii="Calibri" w:hAnsi="Calibri"/>
          <w:color w:val="auto"/>
          <w:sz w:val="22"/>
          <w:szCs w:val="22"/>
        </w:rPr>
        <w:t>En cas de litige concernant l’application ou l’exécution de ces contrats, le Tribunal Administra</w:t>
      </w:r>
      <w:r w:rsidR="004B5C54" w:rsidRPr="002769F6">
        <w:rPr>
          <w:rFonts w:ascii="Calibri" w:hAnsi="Calibri"/>
          <w:color w:val="auto"/>
          <w:sz w:val="22"/>
          <w:szCs w:val="22"/>
        </w:rPr>
        <w:t xml:space="preserve">tif </w:t>
      </w:r>
      <w:r w:rsidR="004B5C54" w:rsidRPr="00C65E4D">
        <w:rPr>
          <w:rFonts w:ascii="Calibri" w:hAnsi="Calibri"/>
          <w:color w:val="auto"/>
          <w:sz w:val="22"/>
          <w:szCs w:val="22"/>
        </w:rPr>
        <w:t>compétent est celui d</w:t>
      </w:r>
      <w:r w:rsidR="00B66A03" w:rsidRPr="00C65E4D">
        <w:rPr>
          <w:rFonts w:ascii="Calibri" w:hAnsi="Calibri"/>
          <w:color w:val="auto"/>
          <w:sz w:val="22"/>
          <w:szCs w:val="22"/>
        </w:rPr>
        <w:t xml:space="preserve">e </w:t>
      </w:r>
      <w:r w:rsidR="007D6F61" w:rsidRPr="00447F9F">
        <w:rPr>
          <w:rFonts w:ascii="Calibri" w:hAnsi="Calibri"/>
          <w:color w:val="auto"/>
          <w:sz w:val="22"/>
          <w:szCs w:val="22"/>
        </w:rPr>
        <w:t>Tribunal Administratif de Rennes, Hôtel de Bizien, 3 Contour de la Motte, CS 44416, 35044 RENNES CEDEX.</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7E0CBB" w:rsidP="00AE4BA3">
      <w:pPr>
        <w:pStyle w:val="Default"/>
        <w:jc w:val="both"/>
        <w:rPr>
          <w:rFonts w:ascii="Calibri" w:hAnsi="Calibri"/>
          <w:color w:val="auto"/>
          <w:sz w:val="22"/>
          <w:szCs w:val="22"/>
        </w:rPr>
      </w:pPr>
      <w:r>
        <w:rPr>
          <w:rFonts w:ascii="Calibri" w:hAnsi="Calibri"/>
          <w:color w:val="auto"/>
          <w:sz w:val="22"/>
          <w:szCs w:val="22"/>
        </w:rPr>
        <w:t>Le Titulaire emploie</w:t>
      </w:r>
      <w:r w:rsidR="002769F6" w:rsidRPr="002769F6">
        <w:rPr>
          <w:rFonts w:ascii="Calibri" w:hAnsi="Calibri"/>
          <w:color w:val="auto"/>
          <w:sz w:val="22"/>
          <w:szCs w:val="22"/>
        </w:rPr>
        <w:t xml:space="preserve"> la langue française dans tous leurs échanges avec l</w:t>
      </w:r>
      <w:r w:rsidR="00FE5311">
        <w:rPr>
          <w:rFonts w:ascii="Calibri" w:hAnsi="Calibri"/>
          <w:color w:val="auto"/>
          <w:sz w:val="22"/>
          <w:szCs w:val="22"/>
        </w:rPr>
        <w:t>a mairie d</w:t>
      </w:r>
      <w:r w:rsidR="00581251">
        <w:rPr>
          <w:rFonts w:ascii="Calibri" w:hAnsi="Calibri"/>
          <w:color w:val="auto"/>
          <w:sz w:val="22"/>
          <w:szCs w:val="22"/>
        </w:rPr>
        <w:t xml:space="preserve">e </w:t>
      </w:r>
      <w:r w:rsidR="00A90672">
        <w:rPr>
          <w:rFonts w:ascii="Calibri" w:hAnsi="Calibri"/>
          <w:sz w:val="22"/>
        </w:rPr>
        <w:t>Gouesnou</w:t>
      </w:r>
      <w:r w:rsidR="00F17EA4">
        <w:rPr>
          <w:rFonts w:ascii="Calibri" w:hAnsi="Calibri"/>
          <w:sz w:val="22"/>
        </w:rPr>
        <w:t xml:space="preserve"> </w:t>
      </w:r>
      <w:r w:rsidR="002769F6" w:rsidRPr="002769F6">
        <w:rPr>
          <w:rFonts w:ascii="Calibri" w:hAnsi="Calibri"/>
          <w:color w:val="auto"/>
          <w:sz w:val="22"/>
          <w:szCs w:val="22"/>
        </w:rPr>
        <w:t xml:space="preserve"> quel qu’en soit le support (factures, documents, rapports, correspondances écrites ou orales).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Les prix des prestations sont formulés et payés en euros.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2769F6" w:rsidRPr="007E6FBB" w:rsidRDefault="002769F6" w:rsidP="007E6FBB">
      <w:pPr>
        <w:pStyle w:val="Titre1"/>
        <w:rPr>
          <w:color w:val="auto"/>
        </w:rPr>
      </w:pPr>
      <w:r w:rsidRPr="007E6FBB">
        <w:rPr>
          <w:color w:val="auto"/>
        </w:rPr>
        <w:lastRenderedPageBreak/>
        <w:t xml:space="preserve"> </w:t>
      </w:r>
      <w:bookmarkStart w:id="39" w:name="_Toc434355955"/>
      <w:r w:rsidRPr="009C08D0">
        <w:rPr>
          <w:color w:val="auto"/>
        </w:rPr>
        <w:t>ARTICLE 1</w:t>
      </w:r>
      <w:r w:rsidR="00900AD3" w:rsidRPr="009C08D0">
        <w:rPr>
          <w:color w:val="auto"/>
        </w:rPr>
        <w:t>4</w:t>
      </w:r>
      <w:r w:rsidRPr="009C08D0">
        <w:rPr>
          <w:color w:val="auto"/>
        </w:rPr>
        <w:t xml:space="preserve"> : DEROGATIONS AU CCAG-FCS</w:t>
      </w:r>
      <w:bookmarkEnd w:id="39"/>
      <w:r w:rsidRPr="009C08D0">
        <w:rPr>
          <w:color w:val="auto"/>
        </w:rPr>
        <w:t xml:space="preserve"> </w:t>
      </w:r>
    </w:p>
    <w:p w:rsidR="002769F6" w:rsidRPr="002769F6" w:rsidRDefault="002769F6" w:rsidP="00AE4BA3">
      <w:pPr>
        <w:pStyle w:val="Default"/>
        <w:jc w:val="both"/>
        <w:rPr>
          <w:rFonts w:ascii="Calibri" w:hAnsi="Calibri" w:cs="Times New Roman"/>
          <w:color w:val="auto"/>
          <w:sz w:val="20"/>
          <w:szCs w:val="20"/>
        </w:rPr>
      </w:pPr>
      <w:r w:rsidRPr="002769F6">
        <w:rPr>
          <w:rFonts w:ascii="Calibri" w:hAnsi="Calibri" w:cs="Times New Roman"/>
          <w:color w:val="auto"/>
          <w:sz w:val="20"/>
          <w:szCs w:val="20"/>
        </w:rPr>
        <w:t xml:space="preserve"> </w:t>
      </w: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Dérogent au CCAG-FCS notamment les articles suivants : </w:t>
      </w:r>
    </w:p>
    <w:p w:rsidR="002769F6" w:rsidRPr="002769F6" w:rsidRDefault="00C65E4D" w:rsidP="00AE4BA3">
      <w:pPr>
        <w:pStyle w:val="Default"/>
        <w:numPr>
          <w:ilvl w:val="0"/>
          <w:numId w:val="14"/>
        </w:numPr>
        <w:jc w:val="both"/>
        <w:rPr>
          <w:rFonts w:ascii="Calibri" w:hAnsi="Calibri"/>
          <w:color w:val="auto"/>
          <w:sz w:val="22"/>
          <w:szCs w:val="22"/>
        </w:rPr>
      </w:pPr>
      <w:r>
        <w:rPr>
          <w:rFonts w:ascii="Calibri" w:hAnsi="Calibri"/>
          <w:color w:val="auto"/>
          <w:sz w:val="22"/>
          <w:szCs w:val="22"/>
        </w:rPr>
        <w:t xml:space="preserve">- article </w:t>
      </w:r>
      <w:r w:rsidR="002769F6" w:rsidRPr="002769F6">
        <w:rPr>
          <w:rFonts w:ascii="Calibri" w:hAnsi="Calibri"/>
          <w:color w:val="auto"/>
          <w:sz w:val="22"/>
          <w:szCs w:val="22"/>
        </w:rPr>
        <w:t xml:space="preserve"> 4.1 relatif aux modalités de commande, déroge à l’article 3.7 du CCAG-FCS </w:t>
      </w:r>
    </w:p>
    <w:p w:rsidR="002769F6" w:rsidRPr="002769F6" w:rsidRDefault="002769F6" w:rsidP="00AE4BA3">
      <w:pPr>
        <w:pStyle w:val="Default"/>
        <w:numPr>
          <w:ilvl w:val="0"/>
          <w:numId w:val="14"/>
        </w:numPr>
        <w:jc w:val="both"/>
        <w:rPr>
          <w:rFonts w:ascii="Calibri" w:hAnsi="Calibri"/>
          <w:color w:val="auto"/>
          <w:sz w:val="22"/>
          <w:szCs w:val="22"/>
        </w:rPr>
      </w:pPr>
      <w:r w:rsidRPr="002769F6">
        <w:rPr>
          <w:rFonts w:ascii="Calibri" w:hAnsi="Calibri"/>
          <w:color w:val="auto"/>
          <w:sz w:val="22"/>
          <w:szCs w:val="22"/>
        </w:rPr>
        <w:t>-</w:t>
      </w:r>
      <w:r w:rsidRPr="002769F6">
        <w:rPr>
          <w:rFonts w:ascii="Calibri" w:hAnsi="Calibri" w:cs="Arial"/>
          <w:color w:val="auto"/>
          <w:sz w:val="22"/>
          <w:szCs w:val="22"/>
        </w:rPr>
        <w:t xml:space="preserve"> </w:t>
      </w:r>
      <w:r w:rsidRPr="002769F6">
        <w:rPr>
          <w:rFonts w:ascii="Calibri" w:hAnsi="Calibri"/>
          <w:color w:val="auto"/>
          <w:sz w:val="22"/>
          <w:szCs w:val="22"/>
        </w:rPr>
        <w:t xml:space="preserve">article 6 relatif aux modalités de paiement, déroge à l’article 11 du CCAG-FCS </w:t>
      </w:r>
    </w:p>
    <w:p w:rsidR="002769F6" w:rsidRPr="002769F6" w:rsidRDefault="002769F6" w:rsidP="00AE4BA3">
      <w:pPr>
        <w:pStyle w:val="Default"/>
        <w:numPr>
          <w:ilvl w:val="0"/>
          <w:numId w:val="14"/>
        </w:numPr>
        <w:jc w:val="both"/>
        <w:rPr>
          <w:rFonts w:ascii="Calibri" w:hAnsi="Calibri"/>
          <w:color w:val="auto"/>
          <w:sz w:val="22"/>
          <w:szCs w:val="22"/>
        </w:rPr>
      </w:pPr>
      <w:r w:rsidRPr="002769F6">
        <w:rPr>
          <w:rFonts w:ascii="Calibri" w:hAnsi="Calibri"/>
          <w:color w:val="auto"/>
          <w:sz w:val="22"/>
          <w:szCs w:val="22"/>
        </w:rPr>
        <w:t>-</w:t>
      </w:r>
      <w:r w:rsidRPr="002769F6">
        <w:rPr>
          <w:rFonts w:ascii="Calibri" w:hAnsi="Calibri" w:cs="Arial"/>
          <w:color w:val="auto"/>
          <w:sz w:val="22"/>
          <w:szCs w:val="22"/>
        </w:rPr>
        <w:t xml:space="preserve"> </w:t>
      </w:r>
      <w:r w:rsidRPr="002769F6">
        <w:rPr>
          <w:rFonts w:ascii="Calibri" w:hAnsi="Calibri"/>
          <w:color w:val="auto"/>
          <w:sz w:val="22"/>
          <w:szCs w:val="22"/>
        </w:rPr>
        <w:t xml:space="preserve">article 7 relatif aux pénalités de retard, déroge à l’article 14 du CCAG-FCS </w:t>
      </w:r>
    </w:p>
    <w:p w:rsidR="002769F6" w:rsidRPr="002769F6" w:rsidRDefault="002769F6" w:rsidP="00AE4BA3">
      <w:pPr>
        <w:pStyle w:val="Default"/>
        <w:jc w:val="both"/>
        <w:rPr>
          <w:rFonts w:ascii="Calibri" w:hAnsi="Calibri"/>
          <w:color w:val="auto"/>
          <w:sz w:val="22"/>
          <w:szCs w:val="22"/>
        </w:rPr>
      </w:pPr>
    </w:p>
    <w:p w:rsidR="002769F6" w:rsidRPr="002769F6" w:rsidRDefault="002769F6" w:rsidP="00AE4BA3">
      <w:pPr>
        <w:pStyle w:val="Default"/>
        <w:jc w:val="both"/>
        <w:rPr>
          <w:rFonts w:ascii="Calibri" w:hAnsi="Calibri"/>
          <w:color w:val="auto"/>
          <w:sz w:val="22"/>
          <w:szCs w:val="22"/>
        </w:rPr>
      </w:pPr>
      <w:r w:rsidRPr="002769F6">
        <w:rPr>
          <w:rFonts w:ascii="Calibri" w:hAnsi="Calibri"/>
          <w:color w:val="auto"/>
          <w:sz w:val="22"/>
          <w:szCs w:val="22"/>
        </w:rPr>
        <w:t xml:space="preserve"> </w:t>
      </w:r>
    </w:p>
    <w:p w:rsidR="007D6F61" w:rsidRPr="004712CA" w:rsidRDefault="002769F6" w:rsidP="004712CA">
      <w:pPr>
        <w:pStyle w:val="Titre3"/>
        <w:rPr>
          <w:i/>
        </w:rPr>
      </w:pPr>
      <w:r w:rsidRPr="002769F6">
        <w:rPr>
          <w:rFonts w:ascii="Calibri" w:hAnsi="Calibri"/>
        </w:rPr>
        <w:t xml:space="preserve"> </w:t>
      </w:r>
      <w:bookmarkStart w:id="40" w:name="_Toc434355956"/>
      <w:r w:rsidR="007D6F61" w:rsidRPr="004712CA">
        <w:rPr>
          <w:i/>
          <w:color w:val="auto"/>
        </w:rPr>
        <w:t>Fin  du CCAP</w:t>
      </w:r>
      <w:bookmarkEnd w:id="40"/>
      <w:r w:rsidR="007D6F61" w:rsidRPr="004712CA">
        <w:rPr>
          <w:rFonts w:ascii="Calibri" w:hAnsi="Calibri"/>
          <w:i/>
          <w:iCs/>
          <w:color w:val="auto"/>
          <w:sz w:val="18"/>
          <w:szCs w:val="18"/>
        </w:rPr>
        <w:t xml:space="preserve"> </w:t>
      </w:r>
    </w:p>
    <w:p w:rsidR="002769F6" w:rsidRPr="002769F6" w:rsidRDefault="007D6F61" w:rsidP="00AE4BA3">
      <w:pPr>
        <w:pStyle w:val="Default"/>
        <w:jc w:val="both"/>
        <w:rPr>
          <w:rFonts w:ascii="Calibri" w:hAnsi="Calibri"/>
          <w:color w:val="auto"/>
          <w:sz w:val="22"/>
          <w:szCs w:val="22"/>
        </w:rPr>
      </w:pPr>
      <w:r>
        <w:rPr>
          <w:rFonts w:ascii="Calibri" w:hAnsi="Calibri"/>
          <w:color w:val="auto"/>
          <w:sz w:val="22"/>
          <w:szCs w:val="22"/>
        </w:rPr>
        <w:t xml:space="preserve"> </w:t>
      </w:r>
    </w:p>
    <w:sectPr w:rsidR="002769F6" w:rsidRPr="002769F6" w:rsidSect="00E7656B">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44" w:rsidRDefault="00827D44" w:rsidP="00930A63">
      <w:pPr>
        <w:spacing w:after="0" w:line="240" w:lineRule="auto"/>
      </w:pPr>
      <w:r>
        <w:separator/>
      </w:r>
    </w:p>
  </w:endnote>
  <w:endnote w:type="continuationSeparator" w:id="0">
    <w:p w:rsidR="00827D44" w:rsidRDefault="00827D44" w:rsidP="0093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21" w:rsidRDefault="00EA5221">
    <w:pPr>
      <w:pStyle w:val="Pieddepage"/>
      <w:pBdr>
        <w:top w:val="thinThickSmallGap" w:sz="24" w:space="1" w:color="585858" w:themeColor="accent2" w:themeShade="7F"/>
      </w:pBdr>
      <w:rPr>
        <w:rFonts w:asciiTheme="majorHAnsi" w:hAnsiTheme="majorHAnsi"/>
      </w:rPr>
    </w:pPr>
    <w:r>
      <w:rPr>
        <w:sz w:val="20"/>
        <w:szCs w:val="20"/>
      </w:rPr>
      <w:t>Cahier des Clauses Administratives Particulières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C488C" w:rsidRPr="004C488C">
      <w:rPr>
        <w:rFonts w:asciiTheme="majorHAnsi" w:hAnsiTheme="majorHAnsi"/>
        <w:noProof/>
      </w:rPr>
      <w:t>1</w:t>
    </w:r>
    <w:r>
      <w:rPr>
        <w:rFonts w:asciiTheme="majorHAnsi" w:hAnsiTheme="majorHAnsi"/>
        <w:noProof/>
      </w:rPr>
      <w:fldChar w:fldCharType="end"/>
    </w:r>
  </w:p>
  <w:p w:rsidR="00EA5221" w:rsidRDefault="00EA52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44" w:rsidRDefault="00827D44" w:rsidP="00930A63">
      <w:pPr>
        <w:spacing w:after="0" w:line="240" w:lineRule="auto"/>
      </w:pPr>
      <w:r>
        <w:separator/>
      </w:r>
    </w:p>
  </w:footnote>
  <w:footnote w:type="continuationSeparator" w:id="0">
    <w:p w:rsidR="00827D44" w:rsidRDefault="00827D44" w:rsidP="00930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3B21A"/>
    <w:multiLevelType w:val="hybridMultilevel"/>
    <w:tmpl w:val="24D5BB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28693B"/>
    <w:multiLevelType w:val="hybridMultilevel"/>
    <w:tmpl w:val="A1C0FC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4F705C"/>
    <w:multiLevelType w:val="hybridMultilevel"/>
    <w:tmpl w:val="EFFFA98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57901C"/>
    <w:multiLevelType w:val="hybridMultilevel"/>
    <w:tmpl w:val="40B029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5A5855"/>
    <w:multiLevelType w:val="hybridMultilevel"/>
    <w:tmpl w:val="61E854C8"/>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4766C9"/>
    <w:multiLevelType w:val="hybridMultilevel"/>
    <w:tmpl w:val="7A9B43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6B79E26"/>
    <w:multiLevelType w:val="hybridMultilevel"/>
    <w:tmpl w:val="46FB14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BF78B6"/>
    <w:multiLevelType w:val="hybridMultilevel"/>
    <w:tmpl w:val="AE7F70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B592F73"/>
    <w:multiLevelType w:val="hybridMultilevel"/>
    <w:tmpl w:val="72786B1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F1486C"/>
    <w:multiLevelType w:val="hybridMultilevel"/>
    <w:tmpl w:val="3C7245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0A8D7BBE"/>
    <w:multiLevelType w:val="hybridMultilevel"/>
    <w:tmpl w:val="DB8E8248"/>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3C6C1F7"/>
    <w:multiLevelType w:val="hybridMultilevel"/>
    <w:tmpl w:val="16DC55D2"/>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177B59"/>
    <w:multiLevelType w:val="hybridMultilevel"/>
    <w:tmpl w:val="FBA21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D70067"/>
    <w:multiLevelType w:val="hybridMultilevel"/>
    <w:tmpl w:val="269A5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7BA600"/>
    <w:multiLevelType w:val="hybridMultilevel"/>
    <w:tmpl w:val="2FB5CC5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C81BDA"/>
    <w:multiLevelType w:val="hybridMultilevel"/>
    <w:tmpl w:val="7CDEB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5807DF"/>
    <w:multiLevelType w:val="hybridMultilevel"/>
    <w:tmpl w:val="91447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664ECD"/>
    <w:multiLevelType w:val="hybridMultilevel"/>
    <w:tmpl w:val="A2205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FD0438"/>
    <w:multiLevelType w:val="hybridMultilevel"/>
    <w:tmpl w:val="F118E3D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5BE348F"/>
    <w:multiLevelType w:val="hybridMultilevel"/>
    <w:tmpl w:val="30BF27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200E7F"/>
    <w:multiLevelType w:val="hybridMultilevel"/>
    <w:tmpl w:val="92C03DD4"/>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1CA6908"/>
    <w:multiLevelType w:val="hybridMultilevel"/>
    <w:tmpl w:val="881AF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71F5D"/>
    <w:multiLevelType w:val="hybridMultilevel"/>
    <w:tmpl w:val="B56461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2711F1"/>
    <w:multiLevelType w:val="hybridMultilevel"/>
    <w:tmpl w:val="F266BC5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4667181"/>
    <w:multiLevelType w:val="hybridMultilevel"/>
    <w:tmpl w:val="5D947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0642F9"/>
    <w:multiLevelType w:val="hybridMultilevel"/>
    <w:tmpl w:val="2EB2BFF0"/>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8D21728"/>
    <w:multiLevelType w:val="hybridMultilevel"/>
    <w:tmpl w:val="8045E3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D2A3FD0"/>
    <w:multiLevelType w:val="hybridMultilevel"/>
    <w:tmpl w:val="C2B2C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D9BC6A"/>
    <w:multiLevelType w:val="hybridMultilevel"/>
    <w:tmpl w:val="188152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EEB62EF"/>
    <w:multiLevelType w:val="hybridMultilevel"/>
    <w:tmpl w:val="C2EAF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4"/>
  </w:num>
  <w:num w:numId="4">
    <w:abstractNumId w:val="28"/>
  </w:num>
  <w:num w:numId="5">
    <w:abstractNumId w:val="7"/>
  </w:num>
  <w:num w:numId="6">
    <w:abstractNumId w:val="5"/>
  </w:num>
  <w:num w:numId="7">
    <w:abstractNumId w:val="0"/>
  </w:num>
  <w:num w:numId="8">
    <w:abstractNumId w:val="3"/>
  </w:num>
  <w:num w:numId="9">
    <w:abstractNumId w:val="6"/>
  </w:num>
  <w:num w:numId="10">
    <w:abstractNumId w:val="11"/>
  </w:num>
  <w:num w:numId="11">
    <w:abstractNumId w:val="26"/>
  </w:num>
  <w:num w:numId="12">
    <w:abstractNumId w:val="4"/>
  </w:num>
  <w:num w:numId="13">
    <w:abstractNumId w:val="2"/>
  </w:num>
  <w:num w:numId="14">
    <w:abstractNumId w:val="8"/>
  </w:num>
  <w:num w:numId="15">
    <w:abstractNumId w:val="25"/>
  </w:num>
  <w:num w:numId="16">
    <w:abstractNumId w:val="10"/>
  </w:num>
  <w:num w:numId="17">
    <w:abstractNumId w:val="16"/>
  </w:num>
  <w:num w:numId="18">
    <w:abstractNumId w:val="12"/>
  </w:num>
  <w:num w:numId="19">
    <w:abstractNumId w:val="27"/>
  </w:num>
  <w:num w:numId="20">
    <w:abstractNumId w:val="9"/>
  </w:num>
  <w:num w:numId="21">
    <w:abstractNumId w:val="24"/>
  </w:num>
  <w:num w:numId="22">
    <w:abstractNumId w:val="15"/>
  </w:num>
  <w:num w:numId="23">
    <w:abstractNumId w:val="29"/>
  </w:num>
  <w:num w:numId="24">
    <w:abstractNumId w:val="21"/>
  </w:num>
  <w:num w:numId="25">
    <w:abstractNumId w:val="17"/>
  </w:num>
  <w:num w:numId="26">
    <w:abstractNumId w:val="23"/>
  </w:num>
  <w:num w:numId="27">
    <w:abstractNumId w:val="20"/>
  </w:num>
  <w:num w:numId="28">
    <w:abstractNumId w:val="18"/>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A3"/>
    <w:rsid w:val="000212B4"/>
    <w:rsid w:val="00041562"/>
    <w:rsid w:val="00066C1C"/>
    <w:rsid w:val="000A5EC6"/>
    <w:rsid w:val="000D3BBB"/>
    <w:rsid w:val="000E63D4"/>
    <w:rsid w:val="0010766C"/>
    <w:rsid w:val="001276F8"/>
    <w:rsid w:val="001332BB"/>
    <w:rsid w:val="001450BC"/>
    <w:rsid w:val="00167EA6"/>
    <w:rsid w:val="00186A10"/>
    <w:rsid w:val="001B4812"/>
    <w:rsid w:val="001D3816"/>
    <w:rsid w:val="001D42D6"/>
    <w:rsid w:val="001E2C4F"/>
    <w:rsid w:val="001F1EF8"/>
    <w:rsid w:val="00247D97"/>
    <w:rsid w:val="00272694"/>
    <w:rsid w:val="002769F6"/>
    <w:rsid w:val="002919AE"/>
    <w:rsid w:val="002A1E9C"/>
    <w:rsid w:val="002A6662"/>
    <w:rsid w:val="002C1711"/>
    <w:rsid w:val="00323656"/>
    <w:rsid w:val="00333A70"/>
    <w:rsid w:val="003465E4"/>
    <w:rsid w:val="00380C1C"/>
    <w:rsid w:val="00380E4B"/>
    <w:rsid w:val="003A045E"/>
    <w:rsid w:val="003B2EB7"/>
    <w:rsid w:val="003B7F34"/>
    <w:rsid w:val="003E22A6"/>
    <w:rsid w:val="003F2782"/>
    <w:rsid w:val="003F7C8F"/>
    <w:rsid w:val="00406ABC"/>
    <w:rsid w:val="00415C86"/>
    <w:rsid w:val="004359E1"/>
    <w:rsid w:val="00447F9F"/>
    <w:rsid w:val="00450ADE"/>
    <w:rsid w:val="00455E50"/>
    <w:rsid w:val="004712CA"/>
    <w:rsid w:val="00480605"/>
    <w:rsid w:val="004B35C1"/>
    <w:rsid w:val="004B5C54"/>
    <w:rsid w:val="004C488C"/>
    <w:rsid w:val="004C7205"/>
    <w:rsid w:val="004E57BC"/>
    <w:rsid w:val="004F225A"/>
    <w:rsid w:val="005047F4"/>
    <w:rsid w:val="00510370"/>
    <w:rsid w:val="0053452D"/>
    <w:rsid w:val="005456CE"/>
    <w:rsid w:val="005478EF"/>
    <w:rsid w:val="00560B36"/>
    <w:rsid w:val="00576A43"/>
    <w:rsid w:val="00581251"/>
    <w:rsid w:val="00581EC9"/>
    <w:rsid w:val="00584051"/>
    <w:rsid w:val="0058654B"/>
    <w:rsid w:val="005C35A6"/>
    <w:rsid w:val="005D42B4"/>
    <w:rsid w:val="005E0BF9"/>
    <w:rsid w:val="005E4412"/>
    <w:rsid w:val="00613C7F"/>
    <w:rsid w:val="00647893"/>
    <w:rsid w:val="00683BBF"/>
    <w:rsid w:val="0068463A"/>
    <w:rsid w:val="00685807"/>
    <w:rsid w:val="006A2F15"/>
    <w:rsid w:val="006A415B"/>
    <w:rsid w:val="006C37F7"/>
    <w:rsid w:val="006D5091"/>
    <w:rsid w:val="006F08CD"/>
    <w:rsid w:val="00720871"/>
    <w:rsid w:val="0073088E"/>
    <w:rsid w:val="007431B0"/>
    <w:rsid w:val="00744ABF"/>
    <w:rsid w:val="00752560"/>
    <w:rsid w:val="00752C85"/>
    <w:rsid w:val="00757E41"/>
    <w:rsid w:val="00775482"/>
    <w:rsid w:val="0078117C"/>
    <w:rsid w:val="007A6E9C"/>
    <w:rsid w:val="007A7F50"/>
    <w:rsid w:val="007B45DF"/>
    <w:rsid w:val="007B5E03"/>
    <w:rsid w:val="007C5758"/>
    <w:rsid w:val="007D6F61"/>
    <w:rsid w:val="007E0CBB"/>
    <w:rsid w:val="007E133F"/>
    <w:rsid w:val="007E382C"/>
    <w:rsid w:val="007E6FBB"/>
    <w:rsid w:val="007E77ED"/>
    <w:rsid w:val="00827D44"/>
    <w:rsid w:val="00856BDF"/>
    <w:rsid w:val="008B2EDF"/>
    <w:rsid w:val="008B2FEA"/>
    <w:rsid w:val="008B6D06"/>
    <w:rsid w:val="008C0359"/>
    <w:rsid w:val="008C3DB6"/>
    <w:rsid w:val="008C5724"/>
    <w:rsid w:val="00900AD3"/>
    <w:rsid w:val="00903ADB"/>
    <w:rsid w:val="009260A7"/>
    <w:rsid w:val="00930A63"/>
    <w:rsid w:val="0096280D"/>
    <w:rsid w:val="00981C95"/>
    <w:rsid w:val="009C08D0"/>
    <w:rsid w:val="009C2C64"/>
    <w:rsid w:val="009C3CAC"/>
    <w:rsid w:val="009F52B9"/>
    <w:rsid w:val="00A061F0"/>
    <w:rsid w:val="00A1622A"/>
    <w:rsid w:val="00A34CBB"/>
    <w:rsid w:val="00A433E3"/>
    <w:rsid w:val="00A451B9"/>
    <w:rsid w:val="00A90672"/>
    <w:rsid w:val="00AC7B10"/>
    <w:rsid w:val="00AD0600"/>
    <w:rsid w:val="00AE4BA3"/>
    <w:rsid w:val="00AF2D3D"/>
    <w:rsid w:val="00B05F02"/>
    <w:rsid w:val="00B17845"/>
    <w:rsid w:val="00B43E83"/>
    <w:rsid w:val="00B47318"/>
    <w:rsid w:val="00B53E06"/>
    <w:rsid w:val="00B54696"/>
    <w:rsid w:val="00B5669F"/>
    <w:rsid w:val="00B6497A"/>
    <w:rsid w:val="00B66A03"/>
    <w:rsid w:val="00BB1A48"/>
    <w:rsid w:val="00C00F5C"/>
    <w:rsid w:val="00C55639"/>
    <w:rsid w:val="00C61169"/>
    <w:rsid w:val="00C65E4D"/>
    <w:rsid w:val="00CA3640"/>
    <w:rsid w:val="00CB3D8C"/>
    <w:rsid w:val="00CF1B83"/>
    <w:rsid w:val="00DB3D76"/>
    <w:rsid w:val="00DC130C"/>
    <w:rsid w:val="00DC6785"/>
    <w:rsid w:val="00DC697D"/>
    <w:rsid w:val="00E650B4"/>
    <w:rsid w:val="00E70F44"/>
    <w:rsid w:val="00E7656B"/>
    <w:rsid w:val="00E90782"/>
    <w:rsid w:val="00E92B7B"/>
    <w:rsid w:val="00EA5221"/>
    <w:rsid w:val="00F062BE"/>
    <w:rsid w:val="00F11BC9"/>
    <w:rsid w:val="00F17EA4"/>
    <w:rsid w:val="00F25A40"/>
    <w:rsid w:val="00F32900"/>
    <w:rsid w:val="00F45B07"/>
    <w:rsid w:val="00F472F6"/>
    <w:rsid w:val="00F61AF8"/>
    <w:rsid w:val="00F87C46"/>
    <w:rsid w:val="00FE5311"/>
    <w:rsid w:val="00FF1D93"/>
    <w:rsid w:val="00FF2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6B"/>
    <w:pPr>
      <w:spacing w:after="160" w:line="259" w:lineRule="auto"/>
    </w:pPr>
    <w:rPr>
      <w:sz w:val="22"/>
      <w:szCs w:val="22"/>
    </w:rPr>
  </w:style>
  <w:style w:type="paragraph" w:styleId="Titre1">
    <w:name w:val="heading 1"/>
    <w:basedOn w:val="Normal"/>
    <w:next w:val="Normal"/>
    <w:link w:val="Titre1Car"/>
    <w:uiPriority w:val="9"/>
    <w:qFormat/>
    <w:rsid w:val="00CA364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CA364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unhideWhenUsed/>
    <w:qFormat/>
    <w:rsid w:val="004712CA"/>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656B"/>
    <w:pPr>
      <w:widowControl w:val="0"/>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39"/>
    <w:rsid w:val="0093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63"/>
    <w:rPr>
      <w:rFonts w:ascii="Tahoma" w:hAnsi="Tahoma" w:cs="Tahoma"/>
      <w:sz w:val="16"/>
      <w:szCs w:val="16"/>
    </w:rPr>
  </w:style>
  <w:style w:type="paragraph" w:styleId="En-tte">
    <w:name w:val="header"/>
    <w:basedOn w:val="Normal"/>
    <w:link w:val="En-tteCar"/>
    <w:uiPriority w:val="99"/>
    <w:semiHidden/>
    <w:unhideWhenUsed/>
    <w:rsid w:val="00930A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A63"/>
    <w:rPr>
      <w:sz w:val="22"/>
      <w:szCs w:val="22"/>
    </w:rPr>
  </w:style>
  <w:style w:type="paragraph" w:styleId="Pieddepage">
    <w:name w:val="footer"/>
    <w:basedOn w:val="Normal"/>
    <w:link w:val="PieddepageCar"/>
    <w:uiPriority w:val="99"/>
    <w:unhideWhenUsed/>
    <w:rsid w:val="0093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63"/>
    <w:rPr>
      <w:sz w:val="22"/>
      <w:szCs w:val="22"/>
    </w:rPr>
  </w:style>
  <w:style w:type="character" w:customStyle="1" w:styleId="Titre1Car">
    <w:name w:val="Titre 1 Car"/>
    <w:basedOn w:val="Policepardfaut"/>
    <w:link w:val="Titre1"/>
    <w:uiPriority w:val="9"/>
    <w:rsid w:val="00CA3640"/>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unhideWhenUsed/>
    <w:qFormat/>
    <w:rsid w:val="00CA3640"/>
    <w:pPr>
      <w:spacing w:line="276" w:lineRule="auto"/>
      <w:outlineLvl w:val="9"/>
    </w:pPr>
    <w:rPr>
      <w:lang w:eastAsia="en-US"/>
    </w:rPr>
  </w:style>
  <w:style w:type="paragraph" w:styleId="TM1">
    <w:name w:val="toc 1"/>
    <w:basedOn w:val="Normal"/>
    <w:next w:val="Normal"/>
    <w:autoRedefine/>
    <w:uiPriority w:val="39"/>
    <w:unhideWhenUsed/>
    <w:rsid w:val="00CA3640"/>
    <w:pPr>
      <w:spacing w:after="100"/>
    </w:pPr>
  </w:style>
  <w:style w:type="character" w:styleId="Lienhypertexte">
    <w:name w:val="Hyperlink"/>
    <w:basedOn w:val="Policepardfaut"/>
    <w:uiPriority w:val="99"/>
    <w:unhideWhenUsed/>
    <w:rsid w:val="00CA3640"/>
    <w:rPr>
      <w:color w:val="5F5F5F" w:themeColor="hyperlink"/>
      <w:u w:val="single"/>
    </w:rPr>
  </w:style>
  <w:style w:type="character" w:customStyle="1" w:styleId="Titre2Car">
    <w:name w:val="Titre 2 Car"/>
    <w:basedOn w:val="Policepardfaut"/>
    <w:link w:val="Titre2"/>
    <w:uiPriority w:val="9"/>
    <w:rsid w:val="00CA3640"/>
    <w:rPr>
      <w:rFonts w:asciiTheme="majorHAnsi" w:eastAsiaTheme="majorEastAsia" w:hAnsiTheme="majorHAnsi" w:cstheme="majorBidi"/>
      <w:b/>
      <w:bCs/>
      <w:color w:val="DDDDDD" w:themeColor="accent1"/>
      <w:sz w:val="26"/>
      <w:szCs w:val="26"/>
    </w:rPr>
  </w:style>
  <w:style w:type="paragraph" w:styleId="TM2">
    <w:name w:val="toc 2"/>
    <w:basedOn w:val="Normal"/>
    <w:next w:val="Normal"/>
    <w:autoRedefine/>
    <w:uiPriority w:val="39"/>
    <w:unhideWhenUsed/>
    <w:rsid w:val="007B45DF"/>
    <w:pPr>
      <w:spacing w:after="100"/>
      <w:ind w:left="220"/>
    </w:pPr>
  </w:style>
  <w:style w:type="character" w:customStyle="1" w:styleId="Titre3Car">
    <w:name w:val="Titre 3 Car"/>
    <w:basedOn w:val="Policepardfaut"/>
    <w:link w:val="Titre3"/>
    <w:uiPriority w:val="9"/>
    <w:rsid w:val="004712CA"/>
    <w:rPr>
      <w:rFonts w:asciiTheme="majorHAnsi" w:eastAsiaTheme="majorEastAsia" w:hAnsiTheme="majorHAnsi" w:cstheme="majorBidi"/>
      <w:color w:val="6E6E6E" w:themeColor="accent1" w:themeShade="7F"/>
      <w:sz w:val="24"/>
      <w:szCs w:val="24"/>
    </w:rPr>
  </w:style>
  <w:style w:type="paragraph" w:styleId="TM3">
    <w:name w:val="toc 3"/>
    <w:basedOn w:val="Normal"/>
    <w:next w:val="Normal"/>
    <w:autoRedefine/>
    <w:uiPriority w:val="39"/>
    <w:unhideWhenUsed/>
    <w:rsid w:val="004712C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6B"/>
    <w:pPr>
      <w:spacing w:after="160" w:line="259" w:lineRule="auto"/>
    </w:pPr>
    <w:rPr>
      <w:sz w:val="22"/>
      <w:szCs w:val="22"/>
    </w:rPr>
  </w:style>
  <w:style w:type="paragraph" w:styleId="Titre1">
    <w:name w:val="heading 1"/>
    <w:basedOn w:val="Normal"/>
    <w:next w:val="Normal"/>
    <w:link w:val="Titre1Car"/>
    <w:uiPriority w:val="9"/>
    <w:qFormat/>
    <w:rsid w:val="00CA364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itre2">
    <w:name w:val="heading 2"/>
    <w:basedOn w:val="Normal"/>
    <w:next w:val="Normal"/>
    <w:link w:val="Titre2Car"/>
    <w:uiPriority w:val="9"/>
    <w:unhideWhenUsed/>
    <w:qFormat/>
    <w:rsid w:val="00CA364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uiPriority w:val="9"/>
    <w:unhideWhenUsed/>
    <w:qFormat/>
    <w:rsid w:val="004712CA"/>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656B"/>
    <w:pPr>
      <w:widowControl w:val="0"/>
      <w:autoSpaceDE w:val="0"/>
      <w:autoSpaceDN w:val="0"/>
      <w:adjustRightInd w:val="0"/>
    </w:pPr>
    <w:rPr>
      <w:rFonts w:ascii="Trebuchet MS" w:hAnsi="Trebuchet MS" w:cs="Trebuchet MS"/>
      <w:color w:val="000000"/>
      <w:sz w:val="24"/>
      <w:szCs w:val="24"/>
    </w:rPr>
  </w:style>
  <w:style w:type="table" w:styleId="Grilledutableau">
    <w:name w:val="Table Grid"/>
    <w:basedOn w:val="TableauNormal"/>
    <w:uiPriority w:val="39"/>
    <w:rsid w:val="0093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A63"/>
    <w:rPr>
      <w:rFonts w:ascii="Tahoma" w:hAnsi="Tahoma" w:cs="Tahoma"/>
      <w:sz w:val="16"/>
      <w:szCs w:val="16"/>
    </w:rPr>
  </w:style>
  <w:style w:type="paragraph" w:styleId="En-tte">
    <w:name w:val="header"/>
    <w:basedOn w:val="Normal"/>
    <w:link w:val="En-tteCar"/>
    <w:uiPriority w:val="99"/>
    <w:semiHidden/>
    <w:unhideWhenUsed/>
    <w:rsid w:val="00930A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0A63"/>
    <w:rPr>
      <w:sz w:val="22"/>
      <w:szCs w:val="22"/>
    </w:rPr>
  </w:style>
  <w:style w:type="paragraph" w:styleId="Pieddepage">
    <w:name w:val="footer"/>
    <w:basedOn w:val="Normal"/>
    <w:link w:val="PieddepageCar"/>
    <w:uiPriority w:val="99"/>
    <w:unhideWhenUsed/>
    <w:rsid w:val="0093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A63"/>
    <w:rPr>
      <w:sz w:val="22"/>
      <w:szCs w:val="22"/>
    </w:rPr>
  </w:style>
  <w:style w:type="character" w:customStyle="1" w:styleId="Titre1Car">
    <w:name w:val="Titre 1 Car"/>
    <w:basedOn w:val="Policepardfaut"/>
    <w:link w:val="Titre1"/>
    <w:uiPriority w:val="9"/>
    <w:rsid w:val="00CA3640"/>
    <w:rPr>
      <w:rFonts w:asciiTheme="majorHAnsi" w:eastAsiaTheme="majorEastAsia" w:hAnsiTheme="majorHAnsi" w:cstheme="majorBidi"/>
      <w:b/>
      <w:bCs/>
      <w:color w:val="A5A5A5" w:themeColor="accent1" w:themeShade="BF"/>
      <w:sz w:val="28"/>
      <w:szCs w:val="28"/>
    </w:rPr>
  </w:style>
  <w:style w:type="paragraph" w:styleId="En-ttedetabledesmatires">
    <w:name w:val="TOC Heading"/>
    <w:basedOn w:val="Titre1"/>
    <w:next w:val="Normal"/>
    <w:uiPriority w:val="39"/>
    <w:unhideWhenUsed/>
    <w:qFormat/>
    <w:rsid w:val="00CA3640"/>
    <w:pPr>
      <w:spacing w:line="276" w:lineRule="auto"/>
      <w:outlineLvl w:val="9"/>
    </w:pPr>
    <w:rPr>
      <w:lang w:eastAsia="en-US"/>
    </w:rPr>
  </w:style>
  <w:style w:type="paragraph" w:styleId="TM1">
    <w:name w:val="toc 1"/>
    <w:basedOn w:val="Normal"/>
    <w:next w:val="Normal"/>
    <w:autoRedefine/>
    <w:uiPriority w:val="39"/>
    <w:unhideWhenUsed/>
    <w:rsid w:val="00CA3640"/>
    <w:pPr>
      <w:spacing w:after="100"/>
    </w:pPr>
  </w:style>
  <w:style w:type="character" w:styleId="Lienhypertexte">
    <w:name w:val="Hyperlink"/>
    <w:basedOn w:val="Policepardfaut"/>
    <w:uiPriority w:val="99"/>
    <w:unhideWhenUsed/>
    <w:rsid w:val="00CA3640"/>
    <w:rPr>
      <w:color w:val="5F5F5F" w:themeColor="hyperlink"/>
      <w:u w:val="single"/>
    </w:rPr>
  </w:style>
  <w:style w:type="character" w:customStyle="1" w:styleId="Titre2Car">
    <w:name w:val="Titre 2 Car"/>
    <w:basedOn w:val="Policepardfaut"/>
    <w:link w:val="Titre2"/>
    <w:uiPriority w:val="9"/>
    <w:rsid w:val="00CA3640"/>
    <w:rPr>
      <w:rFonts w:asciiTheme="majorHAnsi" w:eastAsiaTheme="majorEastAsia" w:hAnsiTheme="majorHAnsi" w:cstheme="majorBidi"/>
      <w:b/>
      <w:bCs/>
      <w:color w:val="DDDDDD" w:themeColor="accent1"/>
      <w:sz w:val="26"/>
      <w:szCs w:val="26"/>
    </w:rPr>
  </w:style>
  <w:style w:type="paragraph" w:styleId="TM2">
    <w:name w:val="toc 2"/>
    <w:basedOn w:val="Normal"/>
    <w:next w:val="Normal"/>
    <w:autoRedefine/>
    <w:uiPriority w:val="39"/>
    <w:unhideWhenUsed/>
    <w:rsid w:val="007B45DF"/>
    <w:pPr>
      <w:spacing w:after="100"/>
      <w:ind w:left="220"/>
    </w:pPr>
  </w:style>
  <w:style w:type="character" w:customStyle="1" w:styleId="Titre3Car">
    <w:name w:val="Titre 3 Car"/>
    <w:basedOn w:val="Policepardfaut"/>
    <w:link w:val="Titre3"/>
    <w:uiPriority w:val="9"/>
    <w:rsid w:val="004712CA"/>
    <w:rPr>
      <w:rFonts w:asciiTheme="majorHAnsi" w:eastAsiaTheme="majorEastAsia" w:hAnsiTheme="majorHAnsi" w:cstheme="majorBidi"/>
      <w:color w:val="6E6E6E" w:themeColor="accent1" w:themeShade="7F"/>
      <w:sz w:val="24"/>
      <w:szCs w:val="24"/>
    </w:rPr>
  </w:style>
  <w:style w:type="paragraph" w:styleId="TM3">
    <w:name w:val="toc 3"/>
    <w:basedOn w:val="Normal"/>
    <w:next w:val="Normal"/>
    <w:autoRedefine/>
    <w:uiPriority w:val="39"/>
    <w:unhideWhenUsed/>
    <w:rsid w:val="004712C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B8255-F2A1-4260-8593-8C57A08A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3488</Words>
  <Characters>21999</Characters>
  <Application>Microsoft Office Word</Application>
  <DocSecurity>0</DocSecurity>
  <Lines>183</Lines>
  <Paragraphs>50</Paragraphs>
  <ScaleCrop>false</ScaleCrop>
  <HeadingPairs>
    <vt:vector size="2" baseType="variant">
      <vt:variant>
        <vt:lpstr>Titre</vt:lpstr>
      </vt:variant>
      <vt:variant>
        <vt:i4>1</vt:i4>
      </vt:variant>
    </vt:vector>
  </HeadingPairs>
  <TitlesOfParts>
    <vt:vector size="1" baseType="lpstr">
      <vt:lpstr>CCAP</vt:lpstr>
    </vt:vector>
  </TitlesOfParts>
  <Company>Hewlett-Packard Company</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CCAP</dc:title>
  <dc:creator>Lionel Drevillon</dc:creator>
  <cp:lastModifiedBy>eropars</cp:lastModifiedBy>
  <cp:revision>14</cp:revision>
  <cp:lastPrinted>2015-05-27T09:01:00Z</cp:lastPrinted>
  <dcterms:created xsi:type="dcterms:W3CDTF">2015-11-03T21:00:00Z</dcterms:created>
  <dcterms:modified xsi:type="dcterms:W3CDTF">2015-11-04T16:10:00Z</dcterms:modified>
</cp:coreProperties>
</file>