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3" w:rsidRPr="006A0323" w:rsidRDefault="00F75323" w:rsidP="006A0323">
      <w:pPr>
        <w:spacing w:before="100" w:beforeAutospacing="1" w:after="0" w:line="240" w:lineRule="auto"/>
        <w:rPr>
          <w:rFonts w:ascii="Times New Roman" w:hAnsi="Times New Roman" w:cs="Times New Roman"/>
          <w:sz w:val="24"/>
          <w:szCs w:val="24"/>
          <w:lang w:val="en-US" w:eastAsia="fr-FR"/>
        </w:rPr>
      </w:pPr>
    </w:p>
    <w:p w:rsidR="00F75323" w:rsidRPr="00297A3D" w:rsidRDefault="00F75323" w:rsidP="006A0323">
      <w:pPr>
        <w:spacing w:before="100" w:beforeAutospacing="1" w:after="0" w:line="240" w:lineRule="auto"/>
        <w:jc w:val="center"/>
        <w:rPr>
          <w:rFonts w:ascii="Times New Roman" w:hAnsi="Times New Roman" w:cs="Times New Roman"/>
          <w:sz w:val="24"/>
          <w:szCs w:val="24"/>
          <w:lang w:eastAsia="fr-FR"/>
        </w:rPr>
      </w:pPr>
      <w:r w:rsidRPr="00297A3D">
        <w:rPr>
          <w:rFonts w:ascii="Arial" w:hAnsi="Arial" w:cs="Arial"/>
          <w:b/>
          <w:bCs/>
          <w:color w:val="000000"/>
          <w:sz w:val="30"/>
          <w:szCs w:val="30"/>
          <w:u w:val="single"/>
          <w:lang w:eastAsia="fr-FR"/>
        </w:rPr>
        <w:t>MARCHE PUBLIC DE TRAVAUX</w:t>
      </w:r>
    </w:p>
    <w:p w:rsidR="00F75323" w:rsidRPr="00297A3D" w:rsidRDefault="00F75323" w:rsidP="006A0323">
      <w:pPr>
        <w:spacing w:before="100" w:beforeAutospacing="1" w:after="0" w:line="240" w:lineRule="auto"/>
        <w:jc w:val="center"/>
        <w:rPr>
          <w:rFonts w:ascii="Times New Roman" w:hAnsi="Times New Roman" w:cs="Times New Roman"/>
          <w:sz w:val="24"/>
          <w:szCs w:val="24"/>
          <w:lang w:eastAsia="fr-FR"/>
        </w:rPr>
      </w:pPr>
    </w:p>
    <w:p w:rsidR="00F75323" w:rsidRPr="00297A3D" w:rsidRDefault="00F75323" w:rsidP="006A0323">
      <w:pPr>
        <w:spacing w:before="100" w:beforeAutospacing="1" w:after="0" w:line="240" w:lineRule="auto"/>
        <w:jc w:val="center"/>
        <w:rPr>
          <w:rFonts w:ascii="Times New Roman" w:hAnsi="Times New Roman" w:cs="Times New Roman"/>
          <w:sz w:val="24"/>
          <w:szCs w:val="24"/>
          <w:lang w:eastAsia="fr-FR"/>
        </w:rPr>
      </w:pPr>
    </w:p>
    <w:p w:rsidR="00F75323" w:rsidRPr="00297A3D" w:rsidRDefault="00F75323" w:rsidP="006A0323">
      <w:pPr>
        <w:spacing w:before="100" w:beforeAutospacing="1" w:after="0" w:line="240" w:lineRule="auto"/>
        <w:jc w:val="center"/>
        <w:rPr>
          <w:rFonts w:ascii="Times New Roman" w:hAnsi="Times New Roman" w:cs="Times New Roman"/>
          <w:sz w:val="24"/>
          <w:szCs w:val="24"/>
          <w:lang w:eastAsia="fr-FR"/>
        </w:rPr>
      </w:pPr>
    </w:p>
    <w:p w:rsidR="00F75323" w:rsidRPr="00297A3D" w:rsidRDefault="00F75323" w:rsidP="006A0323">
      <w:pPr>
        <w:spacing w:before="100" w:beforeAutospacing="1" w:after="0" w:line="240" w:lineRule="auto"/>
        <w:jc w:val="center"/>
        <w:rPr>
          <w:rFonts w:ascii="Times New Roman" w:hAnsi="Times New Roman" w:cs="Times New Roman"/>
          <w:sz w:val="24"/>
          <w:szCs w:val="24"/>
          <w:lang w:eastAsia="fr-FR"/>
        </w:rPr>
      </w:pPr>
      <w:r w:rsidRPr="00297A3D">
        <w:rPr>
          <w:rFonts w:ascii="Arial" w:hAnsi="Arial" w:cs="Arial"/>
          <w:b/>
          <w:bCs/>
          <w:color w:val="000000"/>
          <w:sz w:val="30"/>
          <w:szCs w:val="30"/>
          <w:u w:val="single"/>
          <w:lang w:eastAsia="fr-FR"/>
        </w:rPr>
        <w:t>BORDEREAU DES PRIX</w:t>
      </w:r>
    </w:p>
    <w:p w:rsidR="00F75323" w:rsidRPr="00297A3D" w:rsidRDefault="00F75323" w:rsidP="006A0323">
      <w:pPr>
        <w:spacing w:before="100" w:beforeAutospacing="1" w:after="0" w:line="240" w:lineRule="auto"/>
        <w:rPr>
          <w:rFonts w:ascii="Times New Roman" w:hAnsi="Times New Roman" w:cs="Times New Roman"/>
          <w:sz w:val="24"/>
          <w:szCs w:val="24"/>
          <w:lang w:eastAsia="fr-FR"/>
        </w:rPr>
      </w:pPr>
    </w:p>
    <w:p w:rsidR="00F75323" w:rsidRPr="00297A3D" w:rsidRDefault="00F75323" w:rsidP="006A0323">
      <w:pPr>
        <w:spacing w:before="100" w:beforeAutospacing="1" w:after="0" w:line="240" w:lineRule="auto"/>
        <w:rPr>
          <w:rFonts w:ascii="Times New Roman" w:hAnsi="Times New Roman" w:cs="Times New Roman"/>
          <w:sz w:val="24"/>
          <w:szCs w:val="24"/>
          <w:lang w:eastAsia="fr-FR"/>
        </w:rPr>
      </w:pPr>
    </w:p>
    <w:tbl>
      <w:tblPr>
        <w:tblW w:w="8648" w:type="dxa"/>
        <w:jc w:val="center"/>
        <w:tblCellSpacing w:w="0" w:type="dxa"/>
        <w:tblInd w:w="-69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8648"/>
      </w:tblGrid>
      <w:tr w:rsidR="00F75323" w:rsidRPr="00E24458">
        <w:trPr>
          <w:tblCellSpacing w:w="0" w:type="dxa"/>
          <w:jc w:val="center"/>
        </w:trPr>
        <w:tc>
          <w:tcPr>
            <w:tcW w:w="8648" w:type="dxa"/>
            <w:tcBorders>
              <w:top w:val="outset" w:sz="6" w:space="0" w:color="000000"/>
              <w:bottom w:val="outset" w:sz="6" w:space="0" w:color="000000"/>
            </w:tcBorders>
          </w:tcPr>
          <w:p w:rsidR="00F75323" w:rsidRPr="006A0323" w:rsidRDefault="00F75323" w:rsidP="006A0323">
            <w:pPr>
              <w:spacing w:before="100" w:beforeAutospacing="1" w:after="119" w:line="240" w:lineRule="auto"/>
              <w:rPr>
                <w:rFonts w:ascii="Times New Roman" w:hAnsi="Times New Roman" w:cs="Times New Roman"/>
                <w:sz w:val="24"/>
                <w:szCs w:val="24"/>
                <w:lang w:eastAsia="fr-FR"/>
              </w:rPr>
            </w:pPr>
            <w:r w:rsidRPr="006A0323">
              <w:rPr>
                <w:rFonts w:ascii="Arial" w:hAnsi="Arial" w:cs="Arial"/>
                <w:b/>
                <w:bCs/>
                <w:color w:val="000000"/>
                <w:sz w:val="20"/>
                <w:szCs w:val="20"/>
                <w:lang w:eastAsia="fr-FR"/>
              </w:rPr>
              <w:t>Représentant du pouvoir adjudicateur</w:t>
            </w:r>
          </w:p>
        </w:tc>
      </w:tr>
      <w:tr w:rsidR="00F75323" w:rsidRPr="00E24458">
        <w:trPr>
          <w:tblCellSpacing w:w="0" w:type="dxa"/>
          <w:jc w:val="center"/>
        </w:trPr>
        <w:tc>
          <w:tcPr>
            <w:tcW w:w="8648" w:type="dxa"/>
            <w:tcBorders>
              <w:top w:val="outset" w:sz="6" w:space="0" w:color="000000"/>
              <w:bottom w:val="outset" w:sz="6" w:space="0" w:color="000000"/>
            </w:tcBorders>
          </w:tcPr>
          <w:p w:rsidR="00F75323" w:rsidRPr="006A0323" w:rsidRDefault="00F75323" w:rsidP="006A0323">
            <w:pPr>
              <w:spacing w:before="100" w:beforeAutospacing="1" w:after="0" w:line="240" w:lineRule="auto"/>
              <w:rPr>
                <w:rFonts w:ascii="Times New Roman" w:hAnsi="Times New Roman" w:cs="Times New Roman"/>
                <w:sz w:val="24"/>
                <w:szCs w:val="24"/>
                <w:lang w:val="en-US" w:eastAsia="fr-FR"/>
              </w:rPr>
            </w:pPr>
          </w:p>
          <w:p w:rsidR="00F75323" w:rsidRPr="006A0323" w:rsidRDefault="00F75323" w:rsidP="006A0323">
            <w:pPr>
              <w:spacing w:before="100" w:beforeAutospacing="1" w:after="0" w:line="240" w:lineRule="auto"/>
              <w:jc w:val="center"/>
              <w:rPr>
                <w:rFonts w:ascii="Times New Roman" w:hAnsi="Times New Roman" w:cs="Times New Roman"/>
                <w:sz w:val="24"/>
                <w:szCs w:val="24"/>
                <w:lang w:val="en-US" w:eastAsia="fr-FR"/>
              </w:rPr>
            </w:pPr>
            <w:r w:rsidRPr="006A0323">
              <w:rPr>
                <w:rFonts w:ascii="Arial" w:hAnsi="Arial" w:cs="Arial"/>
                <w:color w:val="000000"/>
                <w:sz w:val="24"/>
                <w:szCs w:val="24"/>
                <w:lang w:eastAsia="fr-FR"/>
              </w:rPr>
              <w:t>M</w:t>
            </w:r>
            <w:r>
              <w:rPr>
                <w:rFonts w:ascii="Arial" w:hAnsi="Arial" w:cs="Arial"/>
                <w:color w:val="000000"/>
                <w:sz w:val="24"/>
                <w:szCs w:val="24"/>
                <w:lang w:eastAsia="fr-FR"/>
              </w:rPr>
              <w:t>onsieur le Maire de Brasparts</w:t>
            </w:r>
          </w:p>
          <w:p w:rsidR="00F75323" w:rsidRPr="006A0323" w:rsidRDefault="00F75323" w:rsidP="006A0323">
            <w:pPr>
              <w:spacing w:before="100" w:beforeAutospacing="1" w:after="119" w:line="240" w:lineRule="auto"/>
              <w:rPr>
                <w:rFonts w:ascii="Times New Roman" w:hAnsi="Times New Roman" w:cs="Times New Roman"/>
                <w:sz w:val="24"/>
                <w:szCs w:val="24"/>
                <w:lang w:val="en-US" w:eastAsia="fr-FR"/>
              </w:rPr>
            </w:pPr>
          </w:p>
        </w:tc>
      </w:tr>
    </w:tbl>
    <w:p w:rsidR="00F75323" w:rsidRPr="006A0323" w:rsidRDefault="00F75323" w:rsidP="006A0323">
      <w:pPr>
        <w:spacing w:before="100" w:beforeAutospacing="1" w:after="0" w:line="240" w:lineRule="auto"/>
        <w:rPr>
          <w:rFonts w:ascii="Times New Roman" w:hAnsi="Times New Roman" w:cs="Times New Roman"/>
          <w:sz w:val="24"/>
          <w:szCs w:val="24"/>
          <w:lang w:val="en-US" w:eastAsia="fr-FR"/>
        </w:rPr>
      </w:pPr>
    </w:p>
    <w:tbl>
      <w:tblPr>
        <w:tblW w:w="9227" w:type="dxa"/>
        <w:jc w:val="center"/>
        <w:tblCellSpacing w:w="0" w:type="dxa"/>
        <w:tblInd w:w="-127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9227"/>
      </w:tblGrid>
      <w:tr w:rsidR="00F75323" w:rsidRPr="00E24458">
        <w:trPr>
          <w:tblCellSpacing w:w="0" w:type="dxa"/>
          <w:jc w:val="center"/>
        </w:trPr>
        <w:tc>
          <w:tcPr>
            <w:tcW w:w="9227" w:type="dxa"/>
            <w:tcBorders>
              <w:top w:val="outset" w:sz="6" w:space="0" w:color="000000"/>
              <w:bottom w:val="outset" w:sz="6" w:space="0" w:color="000000"/>
            </w:tcBorders>
          </w:tcPr>
          <w:p w:rsidR="00F75323" w:rsidRPr="006A0323" w:rsidRDefault="00F75323" w:rsidP="006A0323">
            <w:pPr>
              <w:spacing w:before="100" w:beforeAutospacing="1" w:after="119" w:line="240" w:lineRule="auto"/>
              <w:rPr>
                <w:rFonts w:ascii="Times New Roman" w:hAnsi="Times New Roman" w:cs="Times New Roman"/>
                <w:sz w:val="24"/>
                <w:szCs w:val="24"/>
                <w:lang w:val="en-US" w:eastAsia="fr-FR"/>
              </w:rPr>
            </w:pPr>
            <w:r w:rsidRPr="006A0323">
              <w:rPr>
                <w:rFonts w:ascii="Arial" w:hAnsi="Arial" w:cs="Arial"/>
                <w:b/>
                <w:bCs/>
                <w:color w:val="000000"/>
                <w:sz w:val="20"/>
                <w:szCs w:val="20"/>
                <w:lang w:val="en-US" w:eastAsia="fr-FR"/>
              </w:rPr>
              <w:t>Objet du marché</w:t>
            </w:r>
          </w:p>
        </w:tc>
      </w:tr>
      <w:tr w:rsidR="00F75323" w:rsidRPr="00E24458">
        <w:trPr>
          <w:tblCellSpacing w:w="0" w:type="dxa"/>
          <w:jc w:val="center"/>
        </w:trPr>
        <w:tc>
          <w:tcPr>
            <w:tcW w:w="9227" w:type="dxa"/>
            <w:tcBorders>
              <w:top w:val="outset" w:sz="6" w:space="0" w:color="000000"/>
              <w:bottom w:val="outset" w:sz="6" w:space="0" w:color="000000"/>
            </w:tcBorders>
          </w:tcPr>
          <w:p w:rsidR="00F75323" w:rsidRPr="00297A3D" w:rsidRDefault="00F75323" w:rsidP="006A0323">
            <w:pPr>
              <w:spacing w:before="100" w:beforeAutospacing="1" w:after="0" w:line="240" w:lineRule="auto"/>
              <w:rPr>
                <w:rFonts w:ascii="Times New Roman" w:hAnsi="Times New Roman" w:cs="Times New Roman"/>
                <w:sz w:val="24"/>
                <w:szCs w:val="24"/>
                <w:lang w:eastAsia="fr-FR"/>
              </w:rPr>
            </w:pPr>
          </w:p>
          <w:p w:rsidR="00F75323" w:rsidRPr="006A0323" w:rsidRDefault="00F75323" w:rsidP="006A0323">
            <w:pPr>
              <w:spacing w:before="100" w:beforeAutospacing="1" w:after="0" w:line="240" w:lineRule="auto"/>
              <w:rPr>
                <w:rFonts w:ascii="Times New Roman" w:hAnsi="Times New Roman" w:cs="Times New Roman"/>
                <w:lang w:eastAsia="fr-FR"/>
              </w:rPr>
            </w:pPr>
            <w:r w:rsidRPr="006A0323">
              <w:rPr>
                <w:rFonts w:ascii="Arial" w:hAnsi="Arial" w:cs="Arial"/>
                <w:color w:val="000000"/>
                <w:lang w:eastAsia="fr-FR"/>
              </w:rPr>
              <w:t>TRAVAUX DE MODERNISATION DE LA VOIRIE COMMUNALE – PROGRAMME 2015</w:t>
            </w:r>
          </w:p>
          <w:p w:rsidR="00F75323" w:rsidRPr="00297A3D" w:rsidRDefault="00F75323" w:rsidP="006A0323">
            <w:pPr>
              <w:spacing w:before="100" w:beforeAutospacing="1" w:after="119" w:line="240" w:lineRule="auto"/>
              <w:rPr>
                <w:rFonts w:ascii="Times New Roman" w:hAnsi="Times New Roman" w:cs="Times New Roman"/>
                <w:sz w:val="24"/>
                <w:szCs w:val="24"/>
                <w:lang w:eastAsia="fr-FR"/>
              </w:rPr>
            </w:pPr>
          </w:p>
        </w:tc>
      </w:tr>
    </w:tbl>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p w:rsidR="00F75323" w:rsidRDefault="00F75323" w:rsidP="006A0323">
      <w:pPr>
        <w:spacing w:before="100" w:beforeAutospacing="1" w:after="0" w:line="240" w:lineRule="auto"/>
        <w:rPr>
          <w:rFonts w:ascii="Times New Roman" w:hAnsi="Times New Roman" w:cs="Times New Roman"/>
          <w:sz w:val="24"/>
          <w:szCs w:val="24"/>
          <w:lang w:eastAsia="fr-FR"/>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
        <w:gridCol w:w="7111"/>
        <w:gridCol w:w="1918"/>
      </w:tblGrid>
      <w:tr w:rsidR="00F75323" w:rsidRPr="00E24458">
        <w:trPr>
          <w:trHeight w:val="567"/>
        </w:trPr>
        <w:tc>
          <w:tcPr>
            <w:tcW w:w="871" w:type="dxa"/>
          </w:tcPr>
          <w:p w:rsidR="00F75323" w:rsidRPr="00E24458" w:rsidRDefault="00F75323" w:rsidP="00AC6ED5">
            <w:pPr>
              <w:spacing w:before="60" w:after="60"/>
              <w:jc w:val="center"/>
              <w:rPr>
                <w:b/>
                <w:bCs/>
                <w:sz w:val="24"/>
                <w:szCs w:val="24"/>
              </w:rPr>
            </w:pPr>
            <w:r w:rsidRPr="00E24458">
              <w:rPr>
                <w:b/>
                <w:bCs/>
                <w:sz w:val="24"/>
                <w:szCs w:val="24"/>
              </w:rPr>
              <w:t>N° Prix</w:t>
            </w:r>
          </w:p>
        </w:tc>
        <w:tc>
          <w:tcPr>
            <w:tcW w:w="7111" w:type="dxa"/>
          </w:tcPr>
          <w:p w:rsidR="00F75323" w:rsidRPr="00933C5D" w:rsidRDefault="00F75323" w:rsidP="00AC6ED5">
            <w:pPr>
              <w:pStyle w:val="Heading3"/>
              <w:spacing w:before="60" w:after="60"/>
              <w:jc w:val="center"/>
              <w:rPr>
                <w:sz w:val="24"/>
                <w:szCs w:val="24"/>
              </w:rPr>
            </w:pPr>
            <w:r w:rsidRPr="00933C5D">
              <w:rPr>
                <w:sz w:val="24"/>
                <w:szCs w:val="24"/>
              </w:rPr>
              <w:t>Désignation du Prix et Prix unitaire en toutes lettres (Hors taxes)</w:t>
            </w:r>
          </w:p>
        </w:tc>
        <w:tc>
          <w:tcPr>
            <w:tcW w:w="1918" w:type="dxa"/>
          </w:tcPr>
          <w:p w:rsidR="00F75323" w:rsidRPr="00E24458" w:rsidRDefault="00F75323" w:rsidP="00AC6ED5">
            <w:pPr>
              <w:jc w:val="center"/>
              <w:rPr>
                <w:b/>
                <w:bCs/>
                <w:sz w:val="20"/>
                <w:szCs w:val="20"/>
              </w:rPr>
            </w:pPr>
            <w:r w:rsidRPr="00E24458">
              <w:rPr>
                <w:b/>
                <w:bCs/>
                <w:sz w:val="20"/>
                <w:szCs w:val="20"/>
              </w:rPr>
              <w:t>Prix unitaire en chiffres (HT)</w:t>
            </w:r>
          </w:p>
        </w:tc>
      </w:tr>
      <w:tr w:rsidR="00F75323" w:rsidRPr="00E24458">
        <w:trPr>
          <w:trHeight w:val="567"/>
        </w:trPr>
        <w:tc>
          <w:tcPr>
            <w:tcW w:w="871" w:type="dxa"/>
          </w:tcPr>
          <w:p w:rsidR="00F75323" w:rsidRDefault="00F75323" w:rsidP="006A0323">
            <w:pPr>
              <w:spacing w:before="60" w:after="60"/>
              <w:jc w:val="center"/>
              <w:rPr>
                <w:b/>
                <w:bCs/>
              </w:rPr>
            </w:pPr>
            <w:r>
              <w:rPr>
                <w:b/>
                <w:bCs/>
              </w:rPr>
              <w:t>1</w:t>
            </w:r>
          </w:p>
        </w:tc>
        <w:tc>
          <w:tcPr>
            <w:tcW w:w="7111" w:type="dxa"/>
          </w:tcPr>
          <w:p w:rsidR="00F75323" w:rsidRPr="004B4F8E" w:rsidRDefault="00F75323" w:rsidP="009C2E91">
            <w:pPr>
              <w:pStyle w:val="Heading3"/>
              <w:spacing w:before="60" w:after="60"/>
              <w:rPr>
                <w:sz w:val="24"/>
                <w:szCs w:val="24"/>
              </w:rPr>
            </w:pPr>
            <w:r w:rsidRPr="004B4F8E">
              <w:rPr>
                <w:sz w:val="24"/>
                <w:szCs w:val="24"/>
              </w:rPr>
              <w:t>Enrobés 120 kg/m²</w:t>
            </w:r>
          </w:p>
          <w:p w:rsidR="00F75323" w:rsidRDefault="00F75323" w:rsidP="009C2E91">
            <w:pPr>
              <w:rPr>
                <w:rFonts w:ascii="Arial" w:hAnsi="Arial" w:cs="Arial"/>
                <w:sz w:val="20"/>
                <w:szCs w:val="20"/>
              </w:rPr>
            </w:pPr>
            <w:r>
              <w:rPr>
                <w:rFonts w:ascii="Arial" w:hAnsi="Arial" w:cs="Arial"/>
                <w:sz w:val="20"/>
                <w:szCs w:val="20"/>
              </w:rPr>
              <w:t>Ce prix rémunère la fourniture, le transport et la mise en œuvre de béton bitumineux 0/10 sur chaussée à raison de 1</w:t>
            </w:r>
            <w:r w:rsidRPr="00E24458">
              <w:rPr>
                <w:rFonts w:ascii="Arial" w:hAnsi="Arial" w:cs="Arial"/>
                <w:sz w:val="20"/>
                <w:szCs w:val="20"/>
              </w:rPr>
              <w:t>2</w:t>
            </w:r>
            <w:r>
              <w:rPr>
                <w:rFonts w:ascii="Arial" w:hAnsi="Arial" w:cs="Arial"/>
                <w:sz w:val="20"/>
                <w:szCs w:val="20"/>
              </w:rPr>
              <w:t>0 kg/m², comprenant le réglage, le nivellement, le compactage à chaud et toutes sujétions de mise en œuvre.</w:t>
            </w:r>
          </w:p>
          <w:p w:rsidR="00F75323" w:rsidRDefault="00F75323" w:rsidP="00AC6ED5">
            <w:pPr>
              <w:spacing w:before="60" w:after="60"/>
            </w:pPr>
            <w:r>
              <w:rPr>
                <w:rFonts w:ascii="Arial" w:hAnsi="Arial" w:cs="Arial"/>
                <w:b/>
                <w:bCs/>
                <w:sz w:val="20"/>
                <w:szCs w:val="20"/>
              </w:rPr>
              <w:t>La tonne :</w:t>
            </w:r>
          </w:p>
        </w:tc>
        <w:tc>
          <w:tcPr>
            <w:tcW w:w="1918" w:type="dxa"/>
          </w:tcPr>
          <w:p w:rsidR="00F75323" w:rsidRPr="00985E4E" w:rsidRDefault="00F75323" w:rsidP="009C2E91">
            <w:pPr>
              <w:rPr>
                <w:b/>
                <w:bCs/>
                <w:sz w:val="24"/>
                <w:szCs w:val="24"/>
              </w:rPr>
            </w:pPr>
            <w:r w:rsidRPr="00E24458">
              <w:rPr>
                <w:b/>
                <w:bCs/>
                <w:sz w:val="24"/>
                <w:szCs w:val="24"/>
              </w:rPr>
              <w:t>T</w:t>
            </w:r>
          </w:p>
        </w:tc>
      </w:tr>
      <w:tr w:rsidR="00F75323" w:rsidRPr="00E24458">
        <w:trPr>
          <w:trHeight w:val="567"/>
        </w:trPr>
        <w:tc>
          <w:tcPr>
            <w:tcW w:w="871" w:type="dxa"/>
          </w:tcPr>
          <w:p w:rsidR="00F75323" w:rsidRPr="00742111" w:rsidRDefault="00F75323" w:rsidP="009C2E91">
            <w:pPr>
              <w:spacing w:before="60" w:after="60"/>
              <w:jc w:val="center"/>
              <w:rPr>
                <w:b/>
                <w:bCs/>
              </w:rPr>
            </w:pPr>
            <w:r>
              <w:rPr>
                <w:b/>
                <w:bCs/>
              </w:rPr>
              <w:t>2</w:t>
            </w:r>
          </w:p>
        </w:tc>
        <w:tc>
          <w:tcPr>
            <w:tcW w:w="7111" w:type="dxa"/>
          </w:tcPr>
          <w:p w:rsidR="00F75323" w:rsidRPr="00742111" w:rsidRDefault="00F75323" w:rsidP="00AC6ED5">
            <w:pPr>
              <w:pStyle w:val="Heading3"/>
              <w:spacing w:before="60" w:after="60"/>
              <w:rPr>
                <w:sz w:val="24"/>
                <w:szCs w:val="24"/>
              </w:rPr>
            </w:pPr>
            <w:r w:rsidRPr="00742111">
              <w:rPr>
                <w:sz w:val="24"/>
                <w:szCs w:val="24"/>
              </w:rPr>
              <w:t xml:space="preserve">Couche d'accrochage avant mise en oeuvre d'enrobés </w:t>
            </w:r>
          </w:p>
          <w:p w:rsidR="00F75323" w:rsidRPr="00E24458" w:rsidRDefault="00F75323" w:rsidP="00AC6ED5">
            <w:pPr>
              <w:rPr>
                <w:rFonts w:ascii="Arial" w:hAnsi="Arial" w:cs="Arial"/>
                <w:sz w:val="20"/>
                <w:szCs w:val="20"/>
              </w:rPr>
            </w:pPr>
            <w:r w:rsidRPr="00E24458">
              <w:rPr>
                <w:rFonts w:ascii="Arial" w:hAnsi="Arial" w:cs="Arial"/>
                <w:sz w:val="20"/>
                <w:szCs w:val="20"/>
              </w:rPr>
              <w:t>Ce prix rémunère : la fourniture, le transport et le répandage d'émulsion de bitume à raison de 300 grammes de bitume résiduel au mètre carré en couche d'accrochage pour les enrobés.</w:t>
            </w:r>
          </w:p>
          <w:p w:rsidR="00F75323" w:rsidRPr="00742111" w:rsidRDefault="00F75323" w:rsidP="00AC6ED5">
            <w:pPr>
              <w:spacing w:before="60" w:after="60"/>
              <w:rPr>
                <w:rFonts w:ascii="Times New Roman" w:hAnsi="Times New Roman" w:cs="Times New Roman"/>
                <w:sz w:val="27"/>
                <w:szCs w:val="27"/>
              </w:rPr>
            </w:pPr>
            <w:r w:rsidRPr="00E24458">
              <w:rPr>
                <w:rFonts w:ascii="Arial" w:hAnsi="Arial" w:cs="Arial"/>
                <w:b/>
                <w:bCs/>
                <w:sz w:val="20"/>
                <w:szCs w:val="20"/>
              </w:rPr>
              <w:t>Le mètre carré :</w:t>
            </w:r>
            <w:r w:rsidRPr="00742111">
              <w:rPr>
                <w:rFonts w:ascii="Times New Roman" w:hAnsi="Times New Roman" w:cs="Times New Roman"/>
                <w:sz w:val="27"/>
                <w:szCs w:val="27"/>
                <w:lang w:eastAsia="fr-FR"/>
              </w:rPr>
              <w:t xml:space="preserve"> </w:t>
            </w:r>
          </w:p>
        </w:tc>
        <w:tc>
          <w:tcPr>
            <w:tcW w:w="1918" w:type="dxa"/>
          </w:tcPr>
          <w:p w:rsidR="00F75323" w:rsidRPr="00985E4E" w:rsidRDefault="00F75323" w:rsidP="009C2E91">
            <w:pPr>
              <w:rPr>
                <w:b/>
                <w:bCs/>
                <w:sz w:val="24"/>
                <w:szCs w:val="24"/>
              </w:rPr>
            </w:pPr>
            <w:r w:rsidRPr="00E24458">
              <w:rPr>
                <w:b/>
                <w:bCs/>
                <w:sz w:val="24"/>
                <w:szCs w:val="24"/>
              </w:rPr>
              <w:t>M²</w:t>
            </w:r>
          </w:p>
          <w:p w:rsidR="00F75323" w:rsidRPr="00985E4E" w:rsidRDefault="00F75323" w:rsidP="009C2E91">
            <w:pPr>
              <w:rPr>
                <w:b/>
                <w:bCs/>
                <w:sz w:val="24"/>
                <w:szCs w:val="24"/>
              </w:rPr>
            </w:pPr>
          </w:p>
          <w:p w:rsidR="00F75323" w:rsidRPr="00985E4E" w:rsidRDefault="00F75323" w:rsidP="009C2E91">
            <w:pPr>
              <w:rPr>
                <w:b/>
                <w:bCs/>
                <w:sz w:val="24"/>
                <w:szCs w:val="24"/>
              </w:rPr>
            </w:pPr>
          </w:p>
        </w:tc>
      </w:tr>
      <w:tr w:rsidR="00F75323" w:rsidRPr="00E24458">
        <w:trPr>
          <w:trHeight w:val="567"/>
        </w:trPr>
        <w:tc>
          <w:tcPr>
            <w:tcW w:w="871" w:type="dxa"/>
          </w:tcPr>
          <w:p w:rsidR="00F75323" w:rsidRDefault="00F75323" w:rsidP="009C2E91">
            <w:pPr>
              <w:spacing w:before="60" w:after="60"/>
              <w:jc w:val="center"/>
              <w:rPr>
                <w:b/>
                <w:bCs/>
              </w:rPr>
            </w:pPr>
            <w:r>
              <w:rPr>
                <w:b/>
                <w:bCs/>
              </w:rPr>
              <w:t>3</w:t>
            </w:r>
          </w:p>
          <w:p w:rsidR="00F75323" w:rsidRPr="00742111" w:rsidRDefault="00F75323" w:rsidP="009C2E91">
            <w:pPr>
              <w:spacing w:before="60" w:after="60"/>
              <w:jc w:val="center"/>
              <w:rPr>
                <w:b/>
                <w:bCs/>
              </w:rPr>
            </w:pPr>
          </w:p>
        </w:tc>
        <w:tc>
          <w:tcPr>
            <w:tcW w:w="7111" w:type="dxa"/>
          </w:tcPr>
          <w:p w:rsidR="00F75323" w:rsidRPr="004B4F8E" w:rsidRDefault="00F75323" w:rsidP="00AC6ED5">
            <w:pPr>
              <w:pStyle w:val="Heading3"/>
              <w:spacing w:before="60" w:after="60"/>
              <w:rPr>
                <w:sz w:val="24"/>
                <w:szCs w:val="24"/>
              </w:rPr>
            </w:pPr>
            <w:r w:rsidRPr="004B4F8E">
              <w:rPr>
                <w:sz w:val="24"/>
                <w:szCs w:val="24"/>
              </w:rPr>
              <w:t>Revêtement bicouche au bitume fluxé</w:t>
            </w:r>
          </w:p>
          <w:p w:rsidR="00F75323" w:rsidRPr="00297A3D" w:rsidRDefault="00F75323" w:rsidP="00AC6ED5">
            <w:pPr>
              <w:pStyle w:val="NormalWeb"/>
              <w:spacing w:after="0"/>
              <w:rPr>
                <w:rFonts w:ascii="Arial" w:hAnsi="Arial" w:cs="Arial"/>
                <w:color w:val="000000"/>
                <w:sz w:val="20"/>
                <w:szCs w:val="20"/>
              </w:rPr>
            </w:pPr>
            <w:r w:rsidRPr="00297A3D">
              <w:rPr>
                <w:rFonts w:ascii="Arial" w:hAnsi="Arial" w:cs="Arial"/>
                <w:color w:val="000000"/>
                <w:sz w:val="20"/>
                <w:szCs w:val="20"/>
              </w:rPr>
              <w:t>Ce prix rémunère :                                                                                                                 - La signalisation temporaire,                                                                                                            - Le balayage et le grattage de la chaussée, comblement des nids de poule, le nettoyage et toutes sujétions nécessaires.                                                                           - L'exécution d'un revêtement bicouche comprenant deux couches de bitume fluxé 80/100 avec un dosage total de 2.3 kg/m², le dopage dans la masse ou en surface, le gravillonnage en gravillons 6.3/10 lavé B1 à raison de 8 l/m2 et en 4/6.3 lavé B1 à raisonde 7 l/m2,le compactage au compacteur à pneus, l'aspiration ou le balayage des rejets.</w:t>
            </w:r>
          </w:p>
          <w:p w:rsidR="00F75323" w:rsidRDefault="00F75323" w:rsidP="00AC6ED5">
            <w:pPr>
              <w:pStyle w:val="NormalWeb"/>
              <w:spacing w:after="0"/>
            </w:pPr>
            <w:r w:rsidRPr="00297A3D">
              <w:rPr>
                <w:rFonts w:ascii="Arial" w:hAnsi="Arial" w:cs="Arial"/>
                <w:color w:val="000000"/>
                <w:sz w:val="20"/>
                <w:szCs w:val="20"/>
              </w:rPr>
              <w:t>Ce prix comprend la fourniture, le transport, et le répandage de bitume fluxé, la fourniture, le chargement le transport et la mise en oeuvre de</w:t>
            </w:r>
            <w:r>
              <w:t xml:space="preserve"> </w:t>
            </w:r>
            <w:r w:rsidRPr="00297A3D">
              <w:rPr>
                <w:rFonts w:ascii="Arial" w:hAnsi="Arial" w:cs="Arial"/>
                <w:color w:val="000000"/>
                <w:sz w:val="20"/>
                <w:szCs w:val="20"/>
              </w:rPr>
              <w:t>gravillons et s'applique au mètre carré de chaussée revêtue.</w:t>
            </w:r>
          </w:p>
          <w:p w:rsidR="00F75323" w:rsidRPr="00E24458" w:rsidRDefault="00F75323" w:rsidP="00AC6ED5">
            <w:pPr>
              <w:spacing w:before="60" w:after="60"/>
              <w:rPr>
                <w:rFonts w:ascii="Arial" w:hAnsi="Arial" w:cs="Arial"/>
                <w:b/>
                <w:bCs/>
                <w:sz w:val="20"/>
                <w:szCs w:val="20"/>
              </w:rPr>
            </w:pPr>
          </w:p>
          <w:p w:rsidR="00F75323" w:rsidRPr="00742111" w:rsidRDefault="00F75323" w:rsidP="00AC6ED5">
            <w:pPr>
              <w:spacing w:before="60" w:after="60"/>
              <w:rPr>
                <w:rFonts w:ascii="Times New Roman" w:hAnsi="Times New Roman" w:cs="Times New Roman"/>
                <w:sz w:val="27"/>
                <w:szCs w:val="27"/>
              </w:rPr>
            </w:pPr>
            <w:r w:rsidRPr="00E24458">
              <w:rPr>
                <w:rFonts w:ascii="Arial" w:hAnsi="Arial" w:cs="Arial"/>
                <w:b/>
                <w:bCs/>
                <w:sz w:val="20"/>
                <w:szCs w:val="20"/>
              </w:rPr>
              <w:t>Le mètre carré :</w:t>
            </w:r>
          </w:p>
        </w:tc>
        <w:tc>
          <w:tcPr>
            <w:tcW w:w="1918" w:type="dxa"/>
          </w:tcPr>
          <w:p w:rsidR="00F75323" w:rsidRPr="00985E4E" w:rsidRDefault="00F75323" w:rsidP="009C2E91">
            <w:pPr>
              <w:rPr>
                <w:b/>
                <w:bCs/>
                <w:sz w:val="24"/>
                <w:szCs w:val="24"/>
              </w:rPr>
            </w:pPr>
            <w:r w:rsidRPr="00E24458">
              <w:rPr>
                <w:b/>
                <w:bCs/>
                <w:sz w:val="24"/>
                <w:szCs w:val="24"/>
              </w:rPr>
              <w:t>M²</w:t>
            </w:r>
          </w:p>
          <w:p w:rsidR="00F75323" w:rsidRPr="00985E4E" w:rsidRDefault="00F75323" w:rsidP="009C2E91">
            <w:pPr>
              <w:rPr>
                <w:b/>
                <w:bCs/>
                <w:sz w:val="24"/>
                <w:szCs w:val="24"/>
              </w:rPr>
            </w:pPr>
          </w:p>
          <w:p w:rsidR="00F75323" w:rsidRPr="00985E4E" w:rsidRDefault="00F75323" w:rsidP="009C2E91">
            <w:pPr>
              <w:rPr>
                <w:b/>
                <w:bCs/>
                <w:sz w:val="24"/>
                <w:szCs w:val="24"/>
              </w:rPr>
            </w:pPr>
          </w:p>
        </w:tc>
      </w:tr>
      <w:tr w:rsidR="00F75323" w:rsidRPr="00E24458">
        <w:trPr>
          <w:trHeight w:val="567"/>
        </w:trPr>
        <w:tc>
          <w:tcPr>
            <w:tcW w:w="871" w:type="dxa"/>
          </w:tcPr>
          <w:p w:rsidR="00F75323" w:rsidRPr="00742111" w:rsidRDefault="00F75323" w:rsidP="009C2E91">
            <w:pPr>
              <w:spacing w:before="60" w:after="60"/>
              <w:jc w:val="center"/>
              <w:rPr>
                <w:b/>
                <w:bCs/>
              </w:rPr>
            </w:pPr>
            <w:r>
              <w:rPr>
                <w:b/>
                <w:bCs/>
              </w:rPr>
              <w:t>4</w:t>
            </w:r>
          </w:p>
        </w:tc>
        <w:tc>
          <w:tcPr>
            <w:tcW w:w="7111" w:type="dxa"/>
          </w:tcPr>
          <w:p w:rsidR="00F75323" w:rsidRPr="004B4F8E" w:rsidRDefault="00F75323" w:rsidP="00985E4E">
            <w:pPr>
              <w:pStyle w:val="Heading3"/>
              <w:spacing w:before="60" w:after="60"/>
              <w:rPr>
                <w:sz w:val="24"/>
                <w:szCs w:val="24"/>
              </w:rPr>
            </w:pPr>
            <w:r w:rsidRPr="004B4F8E">
              <w:rPr>
                <w:sz w:val="24"/>
                <w:szCs w:val="24"/>
              </w:rPr>
              <w:t xml:space="preserve">Rabotage chaussées et/ou engravures en rive ou transversales </w:t>
            </w:r>
          </w:p>
          <w:p w:rsidR="00F75323" w:rsidRPr="00297A3D" w:rsidRDefault="00F75323" w:rsidP="00AC6ED5">
            <w:pPr>
              <w:pStyle w:val="NormalWeb"/>
              <w:spacing w:after="0"/>
            </w:pPr>
            <w:r w:rsidRPr="00297A3D">
              <w:rPr>
                <w:rFonts w:ascii="Arial" w:hAnsi="Arial" w:cs="Arial"/>
                <w:color w:val="000000"/>
                <w:sz w:val="20"/>
                <w:szCs w:val="20"/>
              </w:rPr>
              <w:t xml:space="preserve">Ce prix rémunère :                                                                                                </w:t>
            </w:r>
            <w:r w:rsidRPr="00297A3D">
              <w:t xml:space="preserve">- </w:t>
            </w:r>
            <w:r w:rsidRPr="00297A3D">
              <w:rPr>
                <w:rFonts w:ascii="Arial" w:hAnsi="Arial" w:cs="Arial"/>
                <w:color w:val="000000"/>
                <w:sz w:val="20"/>
                <w:szCs w:val="20"/>
              </w:rPr>
              <w:t>La signalisation temporaire pendant les travaux et jusqu'à</w:t>
            </w:r>
            <w:r w:rsidRPr="00297A3D">
              <w:t xml:space="preserve"> </w:t>
            </w:r>
            <w:r w:rsidRPr="00297A3D">
              <w:rPr>
                <w:rFonts w:ascii="Arial" w:hAnsi="Arial" w:cs="Arial"/>
                <w:color w:val="000000"/>
                <w:sz w:val="20"/>
                <w:szCs w:val="20"/>
              </w:rPr>
              <w:t>la mise en oeuvre des enrobés.</w:t>
            </w:r>
            <w:r w:rsidRPr="00297A3D">
              <w:t xml:space="preserve">                                                                                                                  - </w:t>
            </w:r>
            <w:r w:rsidRPr="00297A3D">
              <w:rPr>
                <w:rFonts w:ascii="Arial" w:hAnsi="Arial" w:cs="Arial"/>
                <w:color w:val="000000"/>
                <w:sz w:val="20"/>
                <w:szCs w:val="20"/>
              </w:rPr>
              <w:t>Le rabotage de chaussées et/ou engravures en rive ou transversales sur une profondeur moyenne inférieure ou égale à</w:t>
            </w:r>
            <w:r w:rsidRPr="00297A3D">
              <w:t xml:space="preserve"> </w:t>
            </w:r>
            <w:r w:rsidRPr="00297A3D">
              <w:rPr>
                <w:rFonts w:ascii="Arial" w:hAnsi="Arial" w:cs="Arial"/>
                <w:color w:val="000000"/>
                <w:sz w:val="20"/>
                <w:szCs w:val="20"/>
              </w:rPr>
              <w:t>5 cm, y compris aspiration, transport et mise en dépôt des</w:t>
            </w:r>
            <w:r w:rsidRPr="00297A3D">
              <w:t xml:space="preserve"> </w:t>
            </w:r>
            <w:r w:rsidRPr="00297A3D">
              <w:rPr>
                <w:rFonts w:ascii="Arial" w:hAnsi="Arial" w:cs="Arial"/>
                <w:color w:val="000000"/>
                <w:sz w:val="20"/>
                <w:szCs w:val="20"/>
              </w:rPr>
              <w:t>matériaux.</w:t>
            </w:r>
          </w:p>
          <w:p w:rsidR="00F75323" w:rsidRDefault="00F75323" w:rsidP="00985E4E">
            <w:pPr>
              <w:pStyle w:val="NormalWeb"/>
              <w:spacing w:after="0"/>
              <w:rPr>
                <w:rFonts w:ascii="Arial" w:hAnsi="Arial" w:cs="Arial"/>
                <w:b/>
                <w:bCs/>
                <w:sz w:val="20"/>
                <w:szCs w:val="20"/>
              </w:rPr>
            </w:pPr>
            <w:r>
              <w:rPr>
                <w:rFonts w:ascii="Arial" w:hAnsi="Arial" w:cs="Arial"/>
                <w:b/>
                <w:bCs/>
                <w:sz w:val="20"/>
                <w:szCs w:val="20"/>
              </w:rPr>
              <w:t>Le mètre carré :</w:t>
            </w:r>
          </w:p>
          <w:p w:rsidR="00F75323" w:rsidRDefault="00F75323" w:rsidP="00985E4E">
            <w:pPr>
              <w:pStyle w:val="NormalWeb"/>
              <w:spacing w:after="0"/>
              <w:rPr>
                <w:rFonts w:ascii="Arial" w:hAnsi="Arial" w:cs="Arial"/>
                <w:b/>
                <w:bCs/>
                <w:sz w:val="20"/>
                <w:szCs w:val="20"/>
              </w:rPr>
            </w:pPr>
          </w:p>
          <w:p w:rsidR="00F75323" w:rsidRDefault="00F75323" w:rsidP="00985E4E">
            <w:pPr>
              <w:pStyle w:val="NormalWeb"/>
              <w:spacing w:after="0"/>
              <w:rPr>
                <w:rFonts w:ascii="Arial" w:hAnsi="Arial" w:cs="Arial"/>
                <w:b/>
                <w:bCs/>
                <w:sz w:val="20"/>
                <w:szCs w:val="20"/>
              </w:rPr>
            </w:pPr>
          </w:p>
          <w:p w:rsidR="00F75323" w:rsidRDefault="00F75323" w:rsidP="00985E4E">
            <w:pPr>
              <w:pStyle w:val="NormalWeb"/>
              <w:spacing w:after="0"/>
              <w:rPr>
                <w:rFonts w:ascii="Arial" w:hAnsi="Arial" w:cs="Arial"/>
                <w:b/>
                <w:bCs/>
                <w:sz w:val="20"/>
                <w:szCs w:val="20"/>
              </w:rPr>
            </w:pPr>
          </w:p>
          <w:p w:rsidR="00F75323" w:rsidRDefault="00F75323" w:rsidP="00985E4E">
            <w:pPr>
              <w:pStyle w:val="NormalWeb"/>
              <w:spacing w:after="0"/>
              <w:rPr>
                <w:rFonts w:ascii="Arial" w:hAnsi="Arial" w:cs="Arial"/>
                <w:b/>
                <w:bCs/>
                <w:sz w:val="20"/>
                <w:szCs w:val="20"/>
              </w:rPr>
            </w:pPr>
          </w:p>
          <w:p w:rsidR="00F75323" w:rsidRPr="00742111" w:rsidRDefault="00F75323" w:rsidP="00985E4E">
            <w:pPr>
              <w:pStyle w:val="NormalWeb"/>
              <w:spacing w:after="0"/>
              <w:rPr>
                <w:sz w:val="27"/>
                <w:szCs w:val="27"/>
              </w:rPr>
            </w:pPr>
          </w:p>
        </w:tc>
        <w:tc>
          <w:tcPr>
            <w:tcW w:w="1918" w:type="dxa"/>
          </w:tcPr>
          <w:p w:rsidR="00F75323" w:rsidRPr="00985E4E" w:rsidRDefault="00F75323" w:rsidP="009C2E91">
            <w:pPr>
              <w:rPr>
                <w:b/>
                <w:bCs/>
                <w:sz w:val="24"/>
                <w:szCs w:val="24"/>
              </w:rPr>
            </w:pPr>
            <w:r w:rsidRPr="00E24458">
              <w:rPr>
                <w:b/>
                <w:bCs/>
                <w:sz w:val="24"/>
                <w:szCs w:val="24"/>
              </w:rPr>
              <w:t>M²</w:t>
            </w:r>
          </w:p>
          <w:p w:rsidR="00F75323" w:rsidRPr="00985E4E" w:rsidRDefault="00F75323" w:rsidP="009C2E91">
            <w:pPr>
              <w:rPr>
                <w:b/>
                <w:bCs/>
                <w:sz w:val="24"/>
                <w:szCs w:val="24"/>
              </w:rPr>
            </w:pPr>
          </w:p>
          <w:p w:rsidR="00F75323" w:rsidRPr="00985E4E" w:rsidRDefault="00F75323" w:rsidP="009C2E91">
            <w:pPr>
              <w:rPr>
                <w:b/>
                <w:bCs/>
                <w:sz w:val="24"/>
                <w:szCs w:val="24"/>
              </w:rPr>
            </w:pPr>
          </w:p>
        </w:tc>
      </w:tr>
      <w:tr w:rsidR="00F75323" w:rsidRPr="00E24458">
        <w:trPr>
          <w:trHeight w:val="567"/>
        </w:trPr>
        <w:tc>
          <w:tcPr>
            <w:tcW w:w="871" w:type="dxa"/>
          </w:tcPr>
          <w:p w:rsidR="00F75323" w:rsidRPr="00742111" w:rsidRDefault="00F75323" w:rsidP="00372F70">
            <w:pPr>
              <w:spacing w:before="60" w:after="60"/>
              <w:jc w:val="center"/>
              <w:rPr>
                <w:b/>
                <w:bCs/>
              </w:rPr>
            </w:pPr>
            <w:r>
              <w:rPr>
                <w:b/>
                <w:bCs/>
              </w:rPr>
              <w:t>5</w:t>
            </w:r>
          </w:p>
        </w:tc>
        <w:tc>
          <w:tcPr>
            <w:tcW w:w="7111" w:type="dxa"/>
          </w:tcPr>
          <w:p w:rsidR="00F75323" w:rsidRPr="004B4F8E" w:rsidRDefault="00F75323" w:rsidP="00C37D19">
            <w:pPr>
              <w:pStyle w:val="Heading3"/>
              <w:spacing w:before="60" w:after="60"/>
              <w:rPr>
                <w:sz w:val="24"/>
                <w:szCs w:val="24"/>
              </w:rPr>
            </w:pPr>
            <w:r w:rsidRPr="004B4F8E">
              <w:rPr>
                <w:sz w:val="24"/>
                <w:szCs w:val="24"/>
              </w:rPr>
              <w:t>R</w:t>
            </w:r>
            <w:r>
              <w:rPr>
                <w:sz w:val="24"/>
                <w:szCs w:val="24"/>
              </w:rPr>
              <w:t>evêtement tricouche 10/14 avec pré-gravillonage</w:t>
            </w:r>
            <w:r w:rsidRPr="004B4F8E">
              <w:rPr>
                <w:sz w:val="24"/>
                <w:szCs w:val="24"/>
              </w:rPr>
              <w:t xml:space="preserve"> </w:t>
            </w:r>
          </w:p>
          <w:p w:rsidR="00F75323" w:rsidRPr="00297A3D" w:rsidRDefault="00F75323" w:rsidP="00C37D19">
            <w:pPr>
              <w:pStyle w:val="NormalWeb"/>
              <w:spacing w:after="0"/>
              <w:rPr>
                <w:rFonts w:ascii="Arial" w:hAnsi="Arial" w:cs="Arial"/>
                <w:color w:val="000000"/>
                <w:sz w:val="20"/>
                <w:szCs w:val="20"/>
              </w:rPr>
            </w:pPr>
            <w:r w:rsidRPr="00297A3D">
              <w:rPr>
                <w:rFonts w:ascii="Arial" w:hAnsi="Arial" w:cs="Arial"/>
                <w:color w:val="000000"/>
                <w:sz w:val="20"/>
                <w:szCs w:val="20"/>
              </w:rPr>
              <w:t xml:space="preserve">Ce prix rémunère :                                                                                                </w:t>
            </w:r>
            <w:r w:rsidRPr="00297A3D">
              <w:t xml:space="preserve">                                                                                    </w:t>
            </w:r>
            <w:r w:rsidRPr="00297A3D">
              <w:rPr>
                <w:rFonts w:ascii="Arial" w:hAnsi="Arial" w:cs="Arial"/>
                <w:color w:val="000000"/>
                <w:sz w:val="20"/>
                <w:szCs w:val="20"/>
              </w:rPr>
              <w:t>Un pré gravillonage à sec à raison de 6 l/m² de 10/14, un premier répandage d’émulsion de bitume à 60% à raison de 2 kg/m² suivi d’un gravillonage 10/14 à  raison de 8 l/m² et d’un cylindrage léger.</w:t>
            </w:r>
          </w:p>
          <w:p w:rsidR="00F75323" w:rsidRPr="00297A3D" w:rsidRDefault="00F75323" w:rsidP="00C37D19">
            <w:pPr>
              <w:pStyle w:val="NormalWeb"/>
              <w:spacing w:after="0"/>
              <w:rPr>
                <w:rFonts w:ascii="Arial" w:hAnsi="Arial" w:cs="Arial"/>
                <w:color w:val="000000"/>
                <w:sz w:val="20"/>
                <w:szCs w:val="20"/>
              </w:rPr>
            </w:pPr>
            <w:r w:rsidRPr="00297A3D">
              <w:rPr>
                <w:rFonts w:ascii="Arial" w:hAnsi="Arial" w:cs="Arial"/>
                <w:color w:val="000000"/>
                <w:sz w:val="20"/>
                <w:szCs w:val="20"/>
              </w:rPr>
              <w:t>Un deuxième répandage d’émulsion de bitume à 60% à raison de 2 kg/m² suivi d’un gravillonage 6/10 à raison de 6 l/m² et d’un cylindrage poussé.</w:t>
            </w:r>
          </w:p>
          <w:p w:rsidR="00F75323" w:rsidRPr="00297A3D" w:rsidRDefault="00F75323" w:rsidP="00C37D19">
            <w:pPr>
              <w:pStyle w:val="NormalWeb"/>
              <w:spacing w:after="0"/>
              <w:rPr>
                <w:rFonts w:ascii="Arial" w:hAnsi="Arial" w:cs="Arial"/>
                <w:color w:val="000000"/>
                <w:sz w:val="20"/>
                <w:szCs w:val="20"/>
              </w:rPr>
            </w:pPr>
            <w:r w:rsidRPr="00297A3D">
              <w:rPr>
                <w:rFonts w:ascii="Arial" w:hAnsi="Arial" w:cs="Arial"/>
                <w:color w:val="000000"/>
                <w:sz w:val="20"/>
                <w:szCs w:val="20"/>
              </w:rPr>
              <w:t xml:space="preserve">Un troisième répandage d’émulsion de bitume à 60% à raison de 2 kg/m² suivi d’un gravillonage 4/6 à raison de 6 l/m² et du cylindrage. </w:t>
            </w:r>
          </w:p>
          <w:p w:rsidR="00F75323" w:rsidRPr="00297A3D" w:rsidRDefault="00F75323" w:rsidP="00C37D19">
            <w:pPr>
              <w:pStyle w:val="NormalWeb"/>
              <w:spacing w:after="0"/>
            </w:pPr>
            <w:r w:rsidRPr="00297A3D">
              <w:rPr>
                <w:rFonts w:ascii="Arial" w:hAnsi="Arial" w:cs="Arial"/>
                <w:color w:val="000000"/>
                <w:sz w:val="20"/>
                <w:szCs w:val="20"/>
              </w:rPr>
              <w:t>Tous travaux préparatoires, fournitures, transport, sujétions et main d’oeuvre comprises. Le balayage des rejets sera realisé dans les quinzes jours après les travaux.</w:t>
            </w:r>
          </w:p>
          <w:p w:rsidR="00F75323" w:rsidRPr="00742111" w:rsidRDefault="00F75323" w:rsidP="00C37D19">
            <w:pPr>
              <w:pStyle w:val="NormalWeb"/>
              <w:spacing w:after="0"/>
              <w:rPr>
                <w:sz w:val="27"/>
                <w:szCs w:val="27"/>
              </w:rPr>
            </w:pPr>
            <w:r>
              <w:rPr>
                <w:rFonts w:ascii="Arial" w:hAnsi="Arial" w:cs="Arial"/>
                <w:b/>
                <w:bCs/>
                <w:sz w:val="20"/>
                <w:szCs w:val="20"/>
              </w:rPr>
              <w:t>Le mètre carré :</w:t>
            </w:r>
          </w:p>
        </w:tc>
        <w:tc>
          <w:tcPr>
            <w:tcW w:w="1918" w:type="dxa"/>
          </w:tcPr>
          <w:p w:rsidR="00F75323" w:rsidRPr="00985E4E" w:rsidRDefault="00F75323" w:rsidP="00C37D19">
            <w:pPr>
              <w:rPr>
                <w:b/>
                <w:bCs/>
                <w:sz w:val="24"/>
                <w:szCs w:val="24"/>
              </w:rPr>
            </w:pPr>
            <w:r w:rsidRPr="00E24458">
              <w:rPr>
                <w:b/>
                <w:bCs/>
                <w:sz w:val="24"/>
                <w:szCs w:val="24"/>
              </w:rPr>
              <w:t>M²</w:t>
            </w:r>
          </w:p>
          <w:p w:rsidR="00F75323" w:rsidRPr="00985E4E" w:rsidRDefault="00F75323" w:rsidP="00C37D19">
            <w:pPr>
              <w:rPr>
                <w:b/>
                <w:bCs/>
                <w:sz w:val="24"/>
                <w:szCs w:val="24"/>
              </w:rPr>
            </w:pPr>
          </w:p>
          <w:p w:rsidR="00F75323" w:rsidRPr="00985E4E" w:rsidRDefault="00F75323" w:rsidP="00C37D19">
            <w:pPr>
              <w:rPr>
                <w:b/>
                <w:bCs/>
                <w:sz w:val="24"/>
                <w:szCs w:val="24"/>
              </w:rPr>
            </w:pPr>
          </w:p>
        </w:tc>
      </w:tr>
      <w:tr w:rsidR="00F75323" w:rsidRPr="00E24458">
        <w:trPr>
          <w:trHeight w:val="567"/>
        </w:trPr>
        <w:tc>
          <w:tcPr>
            <w:tcW w:w="871" w:type="dxa"/>
          </w:tcPr>
          <w:p w:rsidR="00F75323" w:rsidRDefault="00F75323" w:rsidP="00C37D19">
            <w:pPr>
              <w:spacing w:before="60" w:after="60"/>
              <w:jc w:val="center"/>
              <w:rPr>
                <w:b/>
                <w:bCs/>
              </w:rPr>
            </w:pPr>
            <w:r>
              <w:rPr>
                <w:b/>
                <w:bCs/>
              </w:rPr>
              <w:t>6</w:t>
            </w:r>
          </w:p>
          <w:p w:rsidR="00F75323" w:rsidRPr="00742111" w:rsidRDefault="00F75323" w:rsidP="00C37D19">
            <w:pPr>
              <w:spacing w:before="60" w:after="60"/>
              <w:jc w:val="center"/>
              <w:rPr>
                <w:b/>
                <w:bCs/>
              </w:rPr>
            </w:pPr>
          </w:p>
        </w:tc>
        <w:tc>
          <w:tcPr>
            <w:tcW w:w="7111" w:type="dxa"/>
          </w:tcPr>
          <w:p w:rsidR="00F75323" w:rsidRPr="004B4F8E" w:rsidRDefault="00F75323" w:rsidP="00C37D19">
            <w:pPr>
              <w:pStyle w:val="Heading3"/>
              <w:spacing w:before="60" w:after="60"/>
              <w:rPr>
                <w:sz w:val="24"/>
                <w:szCs w:val="24"/>
              </w:rPr>
            </w:pPr>
            <w:r>
              <w:rPr>
                <w:sz w:val="24"/>
                <w:szCs w:val="24"/>
              </w:rPr>
              <w:t>Travaux de point à temps PATA</w:t>
            </w:r>
          </w:p>
          <w:p w:rsidR="00F75323" w:rsidRPr="00297A3D" w:rsidRDefault="00F75323" w:rsidP="00C37D19">
            <w:pPr>
              <w:pStyle w:val="NormalWeb"/>
              <w:spacing w:after="0"/>
              <w:rPr>
                <w:rFonts w:ascii="Arial" w:hAnsi="Arial" w:cs="Arial"/>
                <w:color w:val="000000"/>
                <w:sz w:val="20"/>
                <w:szCs w:val="20"/>
              </w:rPr>
            </w:pPr>
            <w:r w:rsidRPr="00297A3D">
              <w:rPr>
                <w:rFonts w:ascii="Arial" w:hAnsi="Arial" w:cs="Arial"/>
                <w:color w:val="000000"/>
                <w:sz w:val="20"/>
                <w:szCs w:val="20"/>
              </w:rPr>
              <w:t xml:space="preserve">Ce prix rémunère :                                                                                                </w:t>
            </w:r>
            <w:r w:rsidRPr="00297A3D">
              <w:t xml:space="preserve">                                                                                          </w:t>
            </w:r>
            <w:r w:rsidRPr="00297A3D">
              <w:rPr>
                <w:rFonts w:ascii="Arial" w:hAnsi="Arial" w:cs="Arial"/>
                <w:color w:val="000000"/>
                <w:sz w:val="20"/>
                <w:szCs w:val="20"/>
              </w:rPr>
              <w:t>La preparation de la chaussée et des rives et comprend: la préparation des supports (comblement des nids de poule, le nettoyage et toutes sujétions nécessaires), la protection des dépendances, la fourniture et l’épandage manuel de l’émulsion, la fourniture et l’épandage manuel de gravillons 6/10 et 4/6, le compactage, la signalisation.</w:t>
            </w:r>
          </w:p>
          <w:p w:rsidR="00F75323" w:rsidRPr="0010073B" w:rsidRDefault="00F75323" w:rsidP="00C37D19">
            <w:pPr>
              <w:pStyle w:val="NormalWeb"/>
              <w:spacing w:after="0"/>
              <w:rPr>
                <w:rFonts w:ascii="Arial" w:hAnsi="Arial" w:cs="Arial"/>
                <w:color w:val="000000"/>
                <w:sz w:val="20"/>
                <w:szCs w:val="20"/>
                <w:lang w:val="en-US"/>
              </w:rPr>
            </w:pPr>
            <w:r w:rsidRPr="00297A3D">
              <w:rPr>
                <w:rFonts w:ascii="Arial" w:hAnsi="Arial" w:cs="Arial"/>
                <w:color w:val="000000"/>
                <w:sz w:val="20"/>
                <w:szCs w:val="20"/>
              </w:rPr>
              <w:t xml:space="preserve">Est compris le balayage des rejets au plus tard quinze jours après la réalisation des travaux, la signalisation pendant les travaux ainsi que la mise en sécurité de la voie durant les quinzes jours suivant les travaux.                    Ce prix sera rémunéré sur la base des bons d’enlèvement de l’émulsion. </w:t>
            </w:r>
            <w:r w:rsidRPr="0010073B">
              <w:rPr>
                <w:rFonts w:ascii="Arial" w:hAnsi="Arial" w:cs="Arial"/>
                <w:color w:val="000000"/>
                <w:sz w:val="20"/>
                <w:szCs w:val="20"/>
                <w:lang w:val="en-US"/>
              </w:rPr>
              <w:t>Toutes fournitures, sujétions et main d’oeuvre comprises.</w:t>
            </w:r>
          </w:p>
          <w:p w:rsidR="00F75323" w:rsidRDefault="00F75323" w:rsidP="0010073B">
            <w:pPr>
              <w:pStyle w:val="NormalWeb"/>
              <w:spacing w:after="0"/>
              <w:rPr>
                <w:rFonts w:ascii="Arial" w:hAnsi="Arial" w:cs="Arial"/>
                <w:b/>
                <w:bCs/>
                <w:sz w:val="20"/>
                <w:szCs w:val="20"/>
              </w:rPr>
            </w:pPr>
            <w:r>
              <w:rPr>
                <w:rFonts w:ascii="Arial" w:hAnsi="Arial" w:cs="Arial"/>
                <w:b/>
                <w:bCs/>
                <w:sz w:val="20"/>
                <w:szCs w:val="20"/>
              </w:rPr>
              <w:t>La tonne :</w:t>
            </w:r>
          </w:p>
          <w:p w:rsidR="00F75323" w:rsidRPr="00742111" w:rsidRDefault="00F75323" w:rsidP="0010073B">
            <w:pPr>
              <w:pStyle w:val="NormalWeb"/>
              <w:spacing w:after="0"/>
              <w:rPr>
                <w:sz w:val="27"/>
                <w:szCs w:val="27"/>
              </w:rPr>
            </w:pPr>
          </w:p>
        </w:tc>
        <w:tc>
          <w:tcPr>
            <w:tcW w:w="1918" w:type="dxa"/>
          </w:tcPr>
          <w:p w:rsidR="00F75323" w:rsidRPr="00985E4E" w:rsidRDefault="00F75323" w:rsidP="00C37D19">
            <w:pPr>
              <w:rPr>
                <w:b/>
                <w:bCs/>
                <w:sz w:val="24"/>
                <w:szCs w:val="24"/>
              </w:rPr>
            </w:pPr>
            <w:r w:rsidRPr="00E24458">
              <w:rPr>
                <w:b/>
                <w:bCs/>
                <w:sz w:val="24"/>
                <w:szCs w:val="24"/>
              </w:rPr>
              <w:t>T</w:t>
            </w:r>
          </w:p>
          <w:p w:rsidR="00F75323" w:rsidRPr="00985E4E" w:rsidRDefault="00F75323" w:rsidP="00C37D19">
            <w:pPr>
              <w:rPr>
                <w:b/>
                <w:bCs/>
                <w:sz w:val="24"/>
                <w:szCs w:val="24"/>
              </w:rPr>
            </w:pPr>
          </w:p>
          <w:p w:rsidR="00F75323" w:rsidRPr="00985E4E" w:rsidRDefault="00F75323" w:rsidP="00C37D19">
            <w:pPr>
              <w:rPr>
                <w:b/>
                <w:bCs/>
                <w:sz w:val="24"/>
                <w:szCs w:val="24"/>
              </w:rPr>
            </w:pPr>
          </w:p>
        </w:tc>
      </w:tr>
    </w:tbl>
    <w:p w:rsidR="00F75323" w:rsidRDefault="00F75323" w:rsidP="00742111">
      <w:pPr>
        <w:spacing w:before="100" w:beforeAutospacing="1" w:after="0" w:line="240" w:lineRule="auto"/>
        <w:rPr>
          <w:rFonts w:ascii="Times New Roman" w:hAnsi="Times New Roman" w:cs="Times New Roman"/>
          <w:sz w:val="24"/>
          <w:szCs w:val="24"/>
          <w:lang w:val="en-US" w:eastAsia="fr-FR"/>
        </w:rPr>
      </w:pPr>
    </w:p>
    <w:p w:rsidR="00F75323" w:rsidRDefault="00F75323" w:rsidP="00742111">
      <w:pPr>
        <w:spacing w:before="100" w:beforeAutospacing="1" w:after="0" w:line="240" w:lineRule="auto"/>
        <w:rPr>
          <w:rFonts w:ascii="Times New Roman" w:hAnsi="Times New Roman" w:cs="Times New Roman"/>
          <w:sz w:val="24"/>
          <w:szCs w:val="24"/>
          <w:lang w:val="en-US" w:eastAsia="fr-FR"/>
        </w:rPr>
      </w:pPr>
    </w:p>
    <w:p w:rsidR="00F75323" w:rsidRDefault="00F75323" w:rsidP="00DA61F1">
      <w:pPr>
        <w:tabs>
          <w:tab w:val="left" w:pos="1560"/>
          <w:tab w:val="left" w:pos="5880"/>
        </w:tabs>
        <w:rPr>
          <w:rFonts w:ascii="Times New Roman" w:hAnsi="Times New Roman" w:cs="Times New Roman"/>
          <w:sz w:val="24"/>
          <w:szCs w:val="24"/>
          <w:lang w:eastAsia="fr-FR"/>
        </w:rPr>
      </w:pPr>
      <w:r>
        <w:rPr>
          <w:rFonts w:ascii="Times New Roman" w:hAnsi="Times New Roman" w:cs="Times New Roman"/>
          <w:sz w:val="24"/>
          <w:szCs w:val="24"/>
          <w:lang w:eastAsia="fr-FR"/>
        </w:rPr>
        <w:t>A</w:t>
      </w:r>
      <w:r>
        <w:rPr>
          <w:rFonts w:ascii="Times New Roman" w:hAnsi="Times New Roman" w:cs="Times New Roman"/>
          <w:sz w:val="24"/>
          <w:szCs w:val="24"/>
          <w:lang w:eastAsia="fr-FR"/>
        </w:rPr>
        <w:tab/>
        <w:t>,le</w:t>
      </w:r>
      <w:r>
        <w:rPr>
          <w:rFonts w:ascii="Times New Roman" w:hAnsi="Times New Roman" w:cs="Times New Roman"/>
          <w:sz w:val="24"/>
          <w:szCs w:val="24"/>
          <w:lang w:eastAsia="fr-FR"/>
        </w:rPr>
        <w:tab/>
        <w:t>A Brasparts, le</w:t>
      </w:r>
    </w:p>
    <w:p w:rsidR="00F75323" w:rsidRDefault="00F75323" w:rsidP="00DA61F1">
      <w:pPr>
        <w:tabs>
          <w:tab w:val="left" w:pos="5880"/>
        </w:tabs>
        <w:rPr>
          <w:rFonts w:ascii="Times New Roman" w:hAnsi="Times New Roman" w:cs="Times New Roman"/>
          <w:sz w:val="24"/>
          <w:szCs w:val="24"/>
          <w:lang w:eastAsia="fr-FR"/>
        </w:rPr>
      </w:pPr>
      <w:r>
        <w:rPr>
          <w:rFonts w:ascii="Times New Roman" w:hAnsi="Times New Roman" w:cs="Times New Roman"/>
          <w:sz w:val="24"/>
          <w:szCs w:val="24"/>
          <w:lang w:eastAsia="fr-FR"/>
        </w:rPr>
        <w:t>Le candidat</w:t>
      </w:r>
      <w:r>
        <w:rPr>
          <w:rFonts w:ascii="Times New Roman" w:hAnsi="Times New Roman" w:cs="Times New Roman"/>
          <w:sz w:val="24"/>
          <w:szCs w:val="24"/>
          <w:lang w:eastAsia="fr-FR"/>
        </w:rPr>
        <w:tab/>
        <w:t>Le Maire de Brasparts</w:t>
      </w:r>
    </w:p>
    <w:p w:rsidR="00F75323" w:rsidRPr="006A0323" w:rsidRDefault="00F75323" w:rsidP="004B0E2D">
      <w:pPr>
        <w:tabs>
          <w:tab w:val="left" w:pos="5880"/>
        </w:tabs>
        <w:rPr>
          <w:rFonts w:ascii="Times New Roman" w:hAnsi="Times New Roman" w:cs="Times New Roman"/>
          <w:sz w:val="24"/>
          <w:szCs w:val="24"/>
          <w:lang w:val="en-US" w:eastAsia="fr-FR"/>
        </w:rPr>
      </w:pPr>
      <w:r>
        <w:rPr>
          <w:rFonts w:ascii="Times New Roman" w:hAnsi="Times New Roman" w:cs="Times New Roman"/>
          <w:sz w:val="24"/>
          <w:szCs w:val="24"/>
          <w:lang w:eastAsia="fr-FR"/>
        </w:rPr>
        <w:tab/>
        <w:t>Jean Pierre BROUSTAL</w:t>
      </w:r>
    </w:p>
    <w:sectPr w:rsidR="00F75323" w:rsidRPr="006A0323" w:rsidSect="00D12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85B"/>
    <w:rsid w:val="00016B66"/>
    <w:rsid w:val="00076CDC"/>
    <w:rsid w:val="0010073B"/>
    <w:rsid w:val="001D05D5"/>
    <w:rsid w:val="002671DA"/>
    <w:rsid w:val="0027486F"/>
    <w:rsid w:val="00297A3D"/>
    <w:rsid w:val="00372F70"/>
    <w:rsid w:val="004B0E2D"/>
    <w:rsid w:val="004B4F8E"/>
    <w:rsid w:val="00523367"/>
    <w:rsid w:val="005C7AB0"/>
    <w:rsid w:val="00650549"/>
    <w:rsid w:val="006A0323"/>
    <w:rsid w:val="00740B9D"/>
    <w:rsid w:val="00742111"/>
    <w:rsid w:val="007724DE"/>
    <w:rsid w:val="00820CBC"/>
    <w:rsid w:val="008D577A"/>
    <w:rsid w:val="00933C5D"/>
    <w:rsid w:val="0097273A"/>
    <w:rsid w:val="00985E4E"/>
    <w:rsid w:val="009C2E91"/>
    <w:rsid w:val="009E06A7"/>
    <w:rsid w:val="00AA1B7D"/>
    <w:rsid w:val="00AC6ED5"/>
    <w:rsid w:val="00AD42EC"/>
    <w:rsid w:val="00AD53CD"/>
    <w:rsid w:val="00B138DC"/>
    <w:rsid w:val="00C1685B"/>
    <w:rsid w:val="00C37D19"/>
    <w:rsid w:val="00C879C1"/>
    <w:rsid w:val="00CF633C"/>
    <w:rsid w:val="00D12C29"/>
    <w:rsid w:val="00DA61F1"/>
    <w:rsid w:val="00E24458"/>
    <w:rsid w:val="00E66D1D"/>
    <w:rsid w:val="00F25765"/>
    <w:rsid w:val="00F75323"/>
    <w:rsid w:val="00F97324"/>
    <w:rsid w:val="00FF12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29"/>
    <w:pPr>
      <w:spacing w:after="200" w:line="276" w:lineRule="auto"/>
    </w:pPr>
    <w:rPr>
      <w:rFonts w:cs="Calibri"/>
      <w:lang w:eastAsia="en-US"/>
    </w:rPr>
  </w:style>
  <w:style w:type="paragraph" w:styleId="Heading3">
    <w:name w:val="heading 3"/>
    <w:basedOn w:val="Normal"/>
    <w:link w:val="Heading3Char"/>
    <w:uiPriority w:val="99"/>
    <w:qFormat/>
    <w:rsid w:val="006A0323"/>
    <w:pPr>
      <w:spacing w:after="0" w:line="240" w:lineRule="auto"/>
      <w:outlineLvl w:val="2"/>
    </w:pPr>
    <w:rPr>
      <w:rFonts w:ascii="Times New Roman" w:eastAsia="Times New Roman" w:hAnsi="Times New Roman" w:cs="Times New Roman"/>
      <w:b/>
      <w:bCs/>
      <w:sz w:val="27"/>
      <w:szCs w:val="27"/>
      <w:u w:val="single"/>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A0323"/>
    <w:rPr>
      <w:rFonts w:ascii="Times New Roman" w:hAnsi="Times New Roman" w:cs="Times New Roman"/>
      <w:b/>
      <w:bCs/>
      <w:sz w:val="27"/>
      <w:szCs w:val="27"/>
      <w:u w:val="single"/>
      <w:lang w:eastAsia="fr-FR"/>
    </w:rPr>
  </w:style>
  <w:style w:type="paragraph" w:styleId="NormalWeb">
    <w:name w:val="Normal (Web)"/>
    <w:basedOn w:val="Normal"/>
    <w:uiPriority w:val="99"/>
    <w:rsid w:val="006A0323"/>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43112873">
      <w:marLeft w:val="0"/>
      <w:marRight w:val="0"/>
      <w:marTop w:val="0"/>
      <w:marBottom w:val="0"/>
      <w:divBdr>
        <w:top w:val="none" w:sz="0" w:space="0" w:color="auto"/>
        <w:left w:val="none" w:sz="0" w:space="0" w:color="auto"/>
        <w:bottom w:val="none" w:sz="0" w:space="0" w:color="auto"/>
        <w:right w:val="none" w:sz="0" w:space="0" w:color="auto"/>
      </w:divBdr>
    </w:div>
    <w:div w:id="443112874">
      <w:marLeft w:val="0"/>
      <w:marRight w:val="0"/>
      <w:marTop w:val="0"/>
      <w:marBottom w:val="0"/>
      <w:divBdr>
        <w:top w:val="none" w:sz="0" w:space="0" w:color="auto"/>
        <w:left w:val="none" w:sz="0" w:space="0" w:color="auto"/>
        <w:bottom w:val="none" w:sz="0" w:space="0" w:color="auto"/>
        <w:right w:val="none" w:sz="0" w:space="0" w:color="auto"/>
      </w:divBdr>
    </w:div>
    <w:div w:id="443112875">
      <w:marLeft w:val="0"/>
      <w:marRight w:val="0"/>
      <w:marTop w:val="0"/>
      <w:marBottom w:val="0"/>
      <w:divBdr>
        <w:top w:val="none" w:sz="0" w:space="0" w:color="auto"/>
        <w:left w:val="none" w:sz="0" w:space="0" w:color="auto"/>
        <w:bottom w:val="none" w:sz="0" w:space="0" w:color="auto"/>
        <w:right w:val="none" w:sz="0" w:space="0" w:color="auto"/>
      </w:divBdr>
    </w:div>
    <w:div w:id="443112876">
      <w:marLeft w:val="0"/>
      <w:marRight w:val="0"/>
      <w:marTop w:val="0"/>
      <w:marBottom w:val="0"/>
      <w:divBdr>
        <w:top w:val="none" w:sz="0" w:space="0" w:color="auto"/>
        <w:left w:val="none" w:sz="0" w:space="0" w:color="auto"/>
        <w:bottom w:val="none" w:sz="0" w:space="0" w:color="auto"/>
        <w:right w:val="none" w:sz="0" w:space="0" w:color="auto"/>
      </w:divBdr>
    </w:div>
    <w:div w:id="443112877">
      <w:marLeft w:val="0"/>
      <w:marRight w:val="0"/>
      <w:marTop w:val="0"/>
      <w:marBottom w:val="0"/>
      <w:divBdr>
        <w:top w:val="none" w:sz="0" w:space="0" w:color="auto"/>
        <w:left w:val="none" w:sz="0" w:space="0" w:color="auto"/>
        <w:bottom w:val="none" w:sz="0" w:space="0" w:color="auto"/>
        <w:right w:val="none" w:sz="0" w:space="0" w:color="auto"/>
      </w:divBdr>
    </w:div>
    <w:div w:id="443112878">
      <w:marLeft w:val="0"/>
      <w:marRight w:val="0"/>
      <w:marTop w:val="0"/>
      <w:marBottom w:val="0"/>
      <w:divBdr>
        <w:top w:val="none" w:sz="0" w:space="0" w:color="auto"/>
        <w:left w:val="none" w:sz="0" w:space="0" w:color="auto"/>
        <w:bottom w:val="none" w:sz="0" w:space="0" w:color="auto"/>
        <w:right w:val="none" w:sz="0" w:space="0" w:color="auto"/>
      </w:divBdr>
    </w:div>
    <w:div w:id="44311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3</Pages>
  <Words>688</Words>
  <Characters>3788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utilisateur</cp:lastModifiedBy>
  <cp:revision>20</cp:revision>
  <cp:lastPrinted>2015-05-27T13:09:00Z</cp:lastPrinted>
  <dcterms:created xsi:type="dcterms:W3CDTF">2015-02-18T13:04:00Z</dcterms:created>
  <dcterms:modified xsi:type="dcterms:W3CDTF">2015-06-01T07:57:00Z</dcterms:modified>
</cp:coreProperties>
</file>